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A7" w:rsidRDefault="00F65A11" w:rsidP="00F733A7">
      <w:pPr>
        <w:pBdr>
          <w:top w:val="single" w:sz="36" w:space="0" w:color="003366"/>
          <w:left w:val="single" w:sz="36" w:space="4" w:color="003366"/>
          <w:bottom w:val="single" w:sz="36" w:space="1" w:color="003366"/>
          <w:right w:val="single" w:sz="36" w:space="4" w:color="003366"/>
        </w:pBdr>
        <w:shd w:val="clear" w:color="auto" w:fill="A9EFFD"/>
        <w:jc w:val="center"/>
        <w:rPr>
          <w:rFonts w:ascii="Arial" w:hAnsi="Arial" w:cs="Arial"/>
          <w:sz w:val="28"/>
          <w:szCs w:val="28"/>
        </w:rPr>
      </w:pPr>
      <w:r>
        <w:rPr>
          <w:rFonts w:ascii="Arial" w:hAnsi="Arial" w:cs="Arial"/>
          <w:sz w:val="28"/>
          <w:szCs w:val="28"/>
        </w:rPr>
        <w:t>Transfert de la propriété des colonnes montantes</w:t>
      </w:r>
    </w:p>
    <w:p w:rsidR="00F733A7" w:rsidRDefault="00F733A7" w:rsidP="00F733A7">
      <w:pPr>
        <w:rPr>
          <w:rFonts w:ascii="Arial" w:hAnsi="Arial"/>
          <w:sz w:val="20"/>
        </w:rPr>
      </w:pPr>
    </w:p>
    <w:p w:rsidR="00F733A7" w:rsidRPr="00105219" w:rsidRDefault="00F733A7" w:rsidP="00F733A7">
      <w:pPr>
        <w:jc w:val="both"/>
        <w:rPr>
          <w:rFonts w:ascii="Arial" w:hAnsi="Arial"/>
          <w:sz w:val="20"/>
        </w:rPr>
      </w:pPr>
    </w:p>
    <w:p w:rsidR="005E4420" w:rsidRDefault="005E4420" w:rsidP="00F733A7">
      <w:pPr>
        <w:jc w:val="both"/>
        <w:rPr>
          <w:rFonts w:ascii="Arial" w:hAnsi="Arial"/>
          <w:sz w:val="20"/>
        </w:rPr>
      </w:pPr>
    </w:p>
    <w:p w:rsidR="005E4420" w:rsidRDefault="005E4420" w:rsidP="00F733A7">
      <w:pPr>
        <w:jc w:val="both"/>
        <w:rPr>
          <w:rFonts w:ascii="Arial" w:hAnsi="Arial"/>
          <w:sz w:val="20"/>
        </w:rPr>
      </w:pPr>
      <w:r w:rsidRPr="005E4420">
        <w:rPr>
          <w:rFonts w:ascii="Arial" w:hAnsi="Arial"/>
          <w:b/>
          <w:sz w:val="20"/>
          <w:u w:val="single"/>
        </w:rPr>
        <w:t>1</w:t>
      </w:r>
      <w:r w:rsidRPr="005E4420">
        <w:rPr>
          <w:rFonts w:ascii="Arial" w:hAnsi="Arial"/>
          <w:b/>
          <w:sz w:val="20"/>
          <w:u w:val="single"/>
          <w:vertAlign w:val="superscript"/>
        </w:rPr>
        <w:t>er</w:t>
      </w:r>
      <w:r w:rsidRPr="005E4420">
        <w:rPr>
          <w:rFonts w:ascii="Arial" w:hAnsi="Arial"/>
          <w:b/>
          <w:sz w:val="20"/>
          <w:u w:val="single"/>
        </w:rPr>
        <w:t xml:space="preserve"> cas</w:t>
      </w:r>
      <w:r>
        <w:rPr>
          <w:rFonts w:ascii="Arial" w:hAnsi="Arial"/>
          <w:sz w:val="20"/>
        </w:rPr>
        <w:t> : il y a des éléments de preuve que la colonne montante appartient à ENEDIS (marquage « EDF » sur la colonne par exemple), l’AG confirme seulement l’appartenance à ENEDIS.</w:t>
      </w:r>
    </w:p>
    <w:p w:rsidR="005E4420" w:rsidRDefault="005E4420" w:rsidP="00F733A7">
      <w:pPr>
        <w:jc w:val="both"/>
        <w:rPr>
          <w:rFonts w:ascii="Arial" w:hAnsi="Arial"/>
          <w:sz w:val="20"/>
        </w:rPr>
      </w:pPr>
    </w:p>
    <w:p w:rsidR="005E4420" w:rsidRDefault="005E4420" w:rsidP="005E4420">
      <w:pPr>
        <w:jc w:val="both"/>
        <w:rPr>
          <w:rFonts w:ascii="Arial" w:hAnsi="Arial"/>
          <w:sz w:val="20"/>
        </w:rPr>
      </w:pPr>
      <w:r>
        <w:rPr>
          <w:rFonts w:ascii="Arial" w:hAnsi="Arial"/>
          <w:sz w:val="20"/>
        </w:rPr>
        <w:t>L'assemblée générale, ayant pris connaissance des dispositions de l’article 176 de la loi n</w:t>
      </w:r>
      <w:r w:rsidRPr="00105219">
        <w:rPr>
          <w:rFonts w:ascii="Arial" w:hAnsi="Arial"/>
          <w:sz w:val="20"/>
        </w:rPr>
        <w:t>°</w:t>
      </w:r>
      <w:r>
        <w:rPr>
          <w:rFonts w:ascii="Arial" w:hAnsi="Arial"/>
          <w:sz w:val="20"/>
        </w:rPr>
        <w:t xml:space="preserve"> </w:t>
      </w:r>
      <w:r w:rsidRPr="00105219">
        <w:rPr>
          <w:rFonts w:ascii="Arial" w:hAnsi="Arial"/>
          <w:sz w:val="20"/>
        </w:rPr>
        <w:t>2018-1021 du 23 novembre 2018 portant évolution du logement, de l'aménagement et du numérique</w:t>
      </w:r>
      <w:r>
        <w:rPr>
          <w:rFonts w:ascii="Arial" w:hAnsi="Arial"/>
          <w:sz w:val="20"/>
        </w:rPr>
        <w:t>, demande au syndic, le cabinet</w:t>
      </w:r>
      <w:proofErr w:type="gramStart"/>
      <w:r w:rsidR="00206349">
        <w:rPr>
          <w:rFonts w:ascii="Arial" w:hAnsi="Arial"/>
          <w:sz w:val="20"/>
        </w:rPr>
        <w:t xml:space="preserve"> </w:t>
      </w:r>
      <w:r>
        <w:rPr>
          <w:rFonts w:ascii="Arial" w:hAnsi="Arial"/>
          <w:sz w:val="20"/>
        </w:rPr>
        <w:t>….</w:t>
      </w:r>
      <w:proofErr w:type="gramEnd"/>
      <w:r>
        <w:rPr>
          <w:rFonts w:ascii="Arial" w:hAnsi="Arial"/>
          <w:sz w:val="20"/>
        </w:rPr>
        <w:t xml:space="preserve">, de notifier </w:t>
      </w:r>
      <w:r w:rsidRPr="00F65A11">
        <w:rPr>
          <w:rFonts w:ascii="Arial" w:hAnsi="Arial"/>
          <w:sz w:val="20"/>
        </w:rPr>
        <w:t>au gestionnaire d</w:t>
      </w:r>
      <w:r w:rsidR="00206349">
        <w:rPr>
          <w:rFonts w:ascii="Arial" w:hAnsi="Arial"/>
          <w:sz w:val="20"/>
        </w:rPr>
        <w:t>u</w:t>
      </w:r>
      <w:r w:rsidRPr="00F65A11">
        <w:rPr>
          <w:rFonts w:ascii="Arial" w:hAnsi="Arial"/>
          <w:sz w:val="20"/>
        </w:rPr>
        <w:t xml:space="preserve"> réseau</w:t>
      </w:r>
      <w:r w:rsidR="00206349">
        <w:rPr>
          <w:rFonts w:ascii="Arial" w:hAnsi="Arial"/>
          <w:sz w:val="20"/>
        </w:rPr>
        <w:t xml:space="preserve"> public de distribution d’électricité</w:t>
      </w:r>
      <w:r w:rsidRPr="00F65A11">
        <w:rPr>
          <w:rFonts w:ascii="Arial" w:hAnsi="Arial"/>
          <w:sz w:val="20"/>
        </w:rPr>
        <w:t xml:space="preserve"> l'acceptation du transfert définitif </w:t>
      </w:r>
      <w:r w:rsidR="00206349">
        <w:rPr>
          <w:rFonts w:ascii="Arial" w:hAnsi="Arial"/>
          <w:sz w:val="20"/>
        </w:rPr>
        <w:t xml:space="preserve">à ce réseau </w:t>
      </w:r>
      <w:r w:rsidRPr="00F65A11">
        <w:rPr>
          <w:rFonts w:ascii="Arial" w:hAnsi="Arial"/>
          <w:sz w:val="20"/>
        </w:rPr>
        <w:t>d</w:t>
      </w:r>
      <w:r>
        <w:rPr>
          <w:rFonts w:ascii="Arial" w:hAnsi="Arial"/>
          <w:sz w:val="20"/>
        </w:rPr>
        <w:t>es colonnes montantes électriques situées dans l’immeuble sis ….. (</w:t>
      </w:r>
      <w:proofErr w:type="gramStart"/>
      <w:r>
        <w:rPr>
          <w:rFonts w:ascii="Arial" w:hAnsi="Arial"/>
          <w:sz w:val="20"/>
        </w:rPr>
        <w:t>adresse</w:t>
      </w:r>
      <w:proofErr w:type="gramEnd"/>
      <w:r>
        <w:rPr>
          <w:rFonts w:ascii="Arial" w:hAnsi="Arial"/>
          <w:sz w:val="20"/>
        </w:rPr>
        <w:t xml:space="preserve"> de la copropriété).</w:t>
      </w:r>
    </w:p>
    <w:p w:rsidR="005E4420" w:rsidRDefault="005E4420" w:rsidP="005E4420">
      <w:pPr>
        <w:jc w:val="both"/>
        <w:rPr>
          <w:rFonts w:ascii="Arial" w:hAnsi="Arial"/>
          <w:sz w:val="20"/>
        </w:rPr>
      </w:pPr>
    </w:p>
    <w:p w:rsidR="005E4420" w:rsidRDefault="005E4420" w:rsidP="005E4420">
      <w:pPr>
        <w:jc w:val="both"/>
        <w:rPr>
          <w:rFonts w:ascii="Arial" w:hAnsi="Arial"/>
          <w:sz w:val="20"/>
        </w:rPr>
      </w:pPr>
    </w:p>
    <w:tbl>
      <w:tblPr>
        <w:tblW w:w="0" w:type="auto"/>
        <w:tblBorders>
          <w:insideV w:val="single" w:sz="4" w:space="0" w:color="000000"/>
        </w:tblBorders>
        <w:shd w:val="clear" w:color="auto" w:fill="A9EFFD"/>
        <w:tblLook w:val="04A0" w:firstRow="1" w:lastRow="0" w:firstColumn="1" w:lastColumn="0" w:noHBand="0" w:noVBand="1"/>
      </w:tblPr>
      <w:tblGrid>
        <w:gridCol w:w="4157"/>
        <w:gridCol w:w="4915"/>
      </w:tblGrid>
      <w:tr w:rsidR="005E4420" w:rsidRPr="009C54CA" w:rsidTr="001F1FC0">
        <w:tc>
          <w:tcPr>
            <w:tcW w:w="4219" w:type="dxa"/>
            <w:shd w:val="clear" w:color="auto" w:fill="A9EFFD"/>
          </w:tcPr>
          <w:p w:rsidR="005E4420" w:rsidRPr="00BF3B47" w:rsidRDefault="005E4420" w:rsidP="001F1FC0">
            <w:pPr>
              <w:jc w:val="both"/>
              <w:rPr>
                <w:rFonts w:ascii="Arial" w:hAnsi="Arial"/>
                <w:sz w:val="20"/>
                <w:u w:val="single"/>
              </w:rPr>
            </w:pPr>
            <w:r w:rsidRPr="00BF3B47">
              <w:rPr>
                <w:rFonts w:ascii="Arial" w:hAnsi="Arial"/>
                <w:sz w:val="20"/>
                <w:u w:val="single"/>
              </w:rPr>
              <w:t>Ont voté contre :</w:t>
            </w:r>
            <w:r w:rsidRPr="0023766F">
              <w:rPr>
                <w:rFonts w:ascii="Arial" w:hAnsi="Arial"/>
                <w:sz w:val="20"/>
              </w:rPr>
              <w:t xml:space="preserve"> … </w:t>
            </w:r>
            <w:r>
              <w:rPr>
                <w:rFonts w:ascii="Arial" w:hAnsi="Arial"/>
                <w:sz w:val="20"/>
              </w:rPr>
              <w:t>tantièmes</w:t>
            </w:r>
          </w:p>
        </w:tc>
        <w:tc>
          <w:tcPr>
            <w:tcW w:w="4993" w:type="dxa"/>
            <w:shd w:val="clear" w:color="auto" w:fill="A9EFFD"/>
          </w:tcPr>
          <w:p w:rsidR="005E4420" w:rsidRPr="00BF3B47" w:rsidRDefault="005E4420" w:rsidP="001F1FC0">
            <w:pPr>
              <w:jc w:val="both"/>
              <w:rPr>
                <w:rFonts w:ascii="Arial" w:hAnsi="Arial"/>
                <w:sz w:val="20"/>
                <w:u w:val="single"/>
              </w:rPr>
            </w:pPr>
            <w:r w:rsidRPr="00BF3B47">
              <w:rPr>
                <w:rFonts w:ascii="Arial" w:hAnsi="Arial"/>
                <w:sz w:val="20"/>
                <w:u w:val="single"/>
              </w:rPr>
              <w:t>Ont voté pour :</w:t>
            </w:r>
          </w:p>
        </w:tc>
      </w:tr>
      <w:tr w:rsidR="005E4420" w:rsidRPr="009C54CA" w:rsidTr="001F1FC0">
        <w:tc>
          <w:tcPr>
            <w:tcW w:w="4219" w:type="dxa"/>
            <w:shd w:val="clear" w:color="auto" w:fill="A9EFFD"/>
          </w:tcPr>
          <w:p w:rsidR="005E4420" w:rsidRPr="009C54CA" w:rsidRDefault="005E4420" w:rsidP="001F1FC0">
            <w:pPr>
              <w:jc w:val="both"/>
              <w:rPr>
                <w:rFonts w:ascii="Arial" w:hAnsi="Arial"/>
                <w:sz w:val="20"/>
              </w:rPr>
            </w:pPr>
            <w:r w:rsidRPr="009C54CA">
              <w:rPr>
                <w:rFonts w:ascii="Arial" w:hAnsi="Arial"/>
                <w:sz w:val="20"/>
              </w:rPr>
              <w:t xml:space="preserve">M. … </w:t>
            </w:r>
            <w:proofErr w:type="gramStart"/>
            <w:r w:rsidRPr="009C54CA">
              <w:rPr>
                <w:rFonts w:ascii="Arial" w:hAnsi="Arial"/>
                <w:sz w:val="20"/>
              </w:rPr>
              <w:t>=  …</w:t>
            </w:r>
            <w:proofErr w:type="gramEnd"/>
            <w:r w:rsidRPr="009C54CA">
              <w:rPr>
                <w:rFonts w:ascii="Arial" w:hAnsi="Arial"/>
                <w:sz w:val="20"/>
              </w:rPr>
              <w:t xml:space="preserve"> </w:t>
            </w:r>
            <w:r>
              <w:rPr>
                <w:rFonts w:ascii="Arial" w:hAnsi="Arial"/>
                <w:sz w:val="20"/>
              </w:rPr>
              <w:t>tantièmes</w:t>
            </w:r>
          </w:p>
        </w:tc>
        <w:tc>
          <w:tcPr>
            <w:tcW w:w="4993" w:type="dxa"/>
            <w:shd w:val="clear" w:color="auto" w:fill="A9EFFD"/>
          </w:tcPr>
          <w:p w:rsidR="005E4420" w:rsidRPr="009C54CA" w:rsidRDefault="005E4420" w:rsidP="001F1FC0">
            <w:pPr>
              <w:jc w:val="both"/>
              <w:rPr>
                <w:rFonts w:ascii="Arial" w:hAnsi="Arial"/>
                <w:sz w:val="20"/>
              </w:rPr>
            </w:pPr>
            <w:r w:rsidRPr="009C54CA">
              <w:rPr>
                <w:rFonts w:ascii="Arial" w:hAnsi="Arial"/>
                <w:sz w:val="20"/>
              </w:rPr>
              <w:t xml:space="preserve">... </w:t>
            </w:r>
            <w:r>
              <w:rPr>
                <w:rFonts w:ascii="Arial" w:hAnsi="Arial"/>
                <w:sz w:val="20"/>
              </w:rPr>
              <w:t>tantièmes</w:t>
            </w:r>
          </w:p>
        </w:tc>
      </w:tr>
      <w:tr w:rsidR="005E4420" w:rsidRPr="009C54CA" w:rsidTr="001F1FC0">
        <w:tc>
          <w:tcPr>
            <w:tcW w:w="4219" w:type="dxa"/>
            <w:shd w:val="clear" w:color="auto" w:fill="A9EFFD"/>
          </w:tcPr>
          <w:p w:rsidR="005E4420" w:rsidRPr="009C54CA" w:rsidRDefault="005E4420" w:rsidP="001F1FC0">
            <w:pPr>
              <w:jc w:val="both"/>
              <w:rPr>
                <w:rFonts w:ascii="Arial" w:hAnsi="Arial"/>
                <w:sz w:val="20"/>
              </w:rPr>
            </w:pPr>
            <w:r w:rsidRPr="009C54CA">
              <w:rPr>
                <w:rFonts w:ascii="Arial" w:hAnsi="Arial"/>
                <w:sz w:val="20"/>
              </w:rPr>
              <w:t xml:space="preserve">M. … </w:t>
            </w:r>
            <w:proofErr w:type="gramStart"/>
            <w:r w:rsidRPr="009C54CA">
              <w:rPr>
                <w:rFonts w:ascii="Arial" w:hAnsi="Arial"/>
                <w:sz w:val="20"/>
              </w:rPr>
              <w:t>=  …</w:t>
            </w:r>
            <w:proofErr w:type="gramEnd"/>
            <w:r w:rsidRPr="009C54CA">
              <w:rPr>
                <w:rFonts w:ascii="Arial" w:hAnsi="Arial"/>
                <w:sz w:val="20"/>
              </w:rPr>
              <w:t xml:space="preserve"> </w:t>
            </w:r>
            <w:r>
              <w:rPr>
                <w:rFonts w:ascii="Arial" w:hAnsi="Arial"/>
                <w:sz w:val="20"/>
              </w:rPr>
              <w:t>tantièmes</w:t>
            </w:r>
          </w:p>
        </w:tc>
        <w:tc>
          <w:tcPr>
            <w:tcW w:w="4993" w:type="dxa"/>
            <w:shd w:val="clear" w:color="auto" w:fill="A9EFFD"/>
          </w:tcPr>
          <w:p w:rsidR="005E4420" w:rsidRPr="009C54CA" w:rsidRDefault="005E4420" w:rsidP="001F1FC0">
            <w:pPr>
              <w:jc w:val="both"/>
              <w:rPr>
                <w:rFonts w:ascii="Arial" w:hAnsi="Arial"/>
                <w:sz w:val="20"/>
              </w:rPr>
            </w:pPr>
          </w:p>
        </w:tc>
      </w:tr>
      <w:tr w:rsidR="005E4420" w:rsidRPr="009C54CA" w:rsidTr="001F1FC0">
        <w:tc>
          <w:tcPr>
            <w:tcW w:w="4219" w:type="dxa"/>
            <w:shd w:val="clear" w:color="auto" w:fill="A9EFFD"/>
          </w:tcPr>
          <w:p w:rsidR="005E4420" w:rsidRPr="009C54CA" w:rsidRDefault="005E4420" w:rsidP="001F1FC0">
            <w:pPr>
              <w:jc w:val="both"/>
              <w:rPr>
                <w:rFonts w:ascii="Arial" w:hAnsi="Arial"/>
                <w:sz w:val="20"/>
              </w:rPr>
            </w:pPr>
            <w:r w:rsidRPr="009C54CA">
              <w:rPr>
                <w:rFonts w:ascii="Arial" w:hAnsi="Arial"/>
                <w:sz w:val="20"/>
              </w:rPr>
              <w:t xml:space="preserve">M. … </w:t>
            </w:r>
            <w:proofErr w:type="gramStart"/>
            <w:r w:rsidRPr="009C54CA">
              <w:rPr>
                <w:rFonts w:ascii="Arial" w:hAnsi="Arial"/>
                <w:sz w:val="20"/>
              </w:rPr>
              <w:t>=  …</w:t>
            </w:r>
            <w:proofErr w:type="gramEnd"/>
            <w:r w:rsidRPr="009C54CA">
              <w:rPr>
                <w:rFonts w:ascii="Arial" w:hAnsi="Arial"/>
                <w:sz w:val="20"/>
              </w:rPr>
              <w:t xml:space="preserve"> </w:t>
            </w:r>
            <w:r>
              <w:rPr>
                <w:rFonts w:ascii="Arial" w:hAnsi="Arial"/>
                <w:sz w:val="20"/>
              </w:rPr>
              <w:t>tantièmes</w:t>
            </w:r>
          </w:p>
        </w:tc>
        <w:tc>
          <w:tcPr>
            <w:tcW w:w="4993" w:type="dxa"/>
            <w:shd w:val="clear" w:color="auto" w:fill="A9EFFD"/>
          </w:tcPr>
          <w:p w:rsidR="005E4420" w:rsidRPr="009C54CA" w:rsidRDefault="005E4420" w:rsidP="001F1FC0">
            <w:pPr>
              <w:jc w:val="both"/>
              <w:rPr>
                <w:rFonts w:ascii="Arial" w:hAnsi="Arial"/>
                <w:sz w:val="20"/>
              </w:rPr>
            </w:pPr>
          </w:p>
        </w:tc>
      </w:tr>
    </w:tbl>
    <w:p w:rsidR="005E4420" w:rsidRDefault="005E4420" w:rsidP="005E4420">
      <w:pPr>
        <w:jc w:val="both"/>
        <w:rPr>
          <w:rFonts w:ascii="Arial" w:hAnsi="Arial"/>
          <w:sz w:val="20"/>
        </w:rPr>
      </w:pPr>
    </w:p>
    <w:p w:rsidR="005E4420" w:rsidRPr="00D332F8" w:rsidRDefault="005E4420" w:rsidP="005E4420">
      <w:pPr>
        <w:jc w:val="both"/>
        <w:rPr>
          <w:rFonts w:ascii="Arial" w:hAnsi="Arial"/>
          <w:b/>
          <w:sz w:val="20"/>
        </w:rPr>
      </w:pPr>
      <w:r>
        <w:rPr>
          <w:rFonts w:ascii="Arial" w:hAnsi="Arial"/>
          <w:b/>
          <w:sz w:val="20"/>
        </w:rPr>
        <w:t>En conséquence, cette résolution :</w:t>
      </w:r>
    </w:p>
    <w:p w:rsidR="005E4420" w:rsidRDefault="005E4420" w:rsidP="005E4420">
      <w:pPr>
        <w:jc w:val="both"/>
        <w:rPr>
          <w:rFonts w:ascii="Arial" w:hAnsi="Arial"/>
          <w:sz w:val="20"/>
        </w:rPr>
      </w:pPr>
      <w:r>
        <w:rPr>
          <w:rFonts w:ascii="Arial" w:hAnsi="Arial"/>
          <w:sz w:val="20"/>
        </w:rPr>
        <w:t>- est adoptée dans les conditions de majorité de l'article 24</w:t>
      </w:r>
    </w:p>
    <w:p w:rsidR="005E4420" w:rsidRDefault="005E4420" w:rsidP="005E4420">
      <w:pPr>
        <w:jc w:val="both"/>
        <w:rPr>
          <w:rFonts w:ascii="Arial" w:hAnsi="Arial"/>
          <w:sz w:val="20"/>
        </w:rPr>
      </w:pPr>
      <w:r>
        <w:rPr>
          <w:rFonts w:ascii="Arial" w:hAnsi="Arial"/>
          <w:sz w:val="20"/>
        </w:rPr>
        <w:t>- n'a pas recueilli la majorité de l'article 24.</w:t>
      </w:r>
    </w:p>
    <w:p w:rsidR="005E4420" w:rsidRDefault="005E4420" w:rsidP="00F733A7">
      <w:pPr>
        <w:jc w:val="both"/>
        <w:rPr>
          <w:rFonts w:ascii="Arial" w:hAnsi="Arial"/>
          <w:sz w:val="20"/>
        </w:rPr>
      </w:pPr>
    </w:p>
    <w:p w:rsidR="005E4420" w:rsidRDefault="005E4420" w:rsidP="00F733A7">
      <w:pPr>
        <w:jc w:val="both"/>
        <w:rPr>
          <w:rFonts w:ascii="Arial" w:hAnsi="Arial"/>
          <w:sz w:val="20"/>
        </w:rPr>
      </w:pPr>
    </w:p>
    <w:p w:rsidR="005E4420" w:rsidRDefault="005E4420" w:rsidP="00F733A7">
      <w:pPr>
        <w:jc w:val="both"/>
        <w:rPr>
          <w:rFonts w:ascii="Arial" w:hAnsi="Arial"/>
          <w:sz w:val="20"/>
        </w:rPr>
      </w:pPr>
      <w:r w:rsidRPr="005E4420">
        <w:rPr>
          <w:rFonts w:ascii="Arial" w:hAnsi="Arial"/>
          <w:b/>
          <w:sz w:val="20"/>
          <w:u w:val="single"/>
        </w:rPr>
        <w:t>2</w:t>
      </w:r>
      <w:r w:rsidRPr="005E4420">
        <w:rPr>
          <w:rFonts w:ascii="Arial" w:hAnsi="Arial"/>
          <w:b/>
          <w:sz w:val="20"/>
          <w:u w:val="single"/>
          <w:vertAlign w:val="superscript"/>
        </w:rPr>
        <w:t>ème</w:t>
      </w:r>
      <w:r w:rsidRPr="005E4420">
        <w:rPr>
          <w:rFonts w:ascii="Arial" w:hAnsi="Arial"/>
          <w:b/>
          <w:sz w:val="20"/>
          <w:u w:val="single"/>
        </w:rPr>
        <w:t xml:space="preserve"> cas :</w:t>
      </w:r>
      <w:r>
        <w:rPr>
          <w:rFonts w:ascii="Arial" w:hAnsi="Arial"/>
          <w:sz w:val="20"/>
        </w:rPr>
        <w:t xml:space="preserve"> il n’y a pas de preuve de propriété de la colonne montante</w:t>
      </w:r>
      <w:r w:rsidR="00574BED">
        <w:rPr>
          <w:rFonts w:ascii="Arial" w:hAnsi="Arial"/>
          <w:sz w:val="20"/>
        </w:rPr>
        <w:t xml:space="preserve"> ce qui peut impliquer que la colonne appartient au syndicat des copropriétaires. </w:t>
      </w:r>
      <w:bookmarkStart w:id="0" w:name="_GoBack"/>
      <w:bookmarkEnd w:id="0"/>
      <w:r w:rsidR="00206349">
        <w:rPr>
          <w:rFonts w:ascii="Arial" w:hAnsi="Arial"/>
          <w:sz w:val="20"/>
        </w:rPr>
        <w:t>L’assemblée se prononce sur un acte de disposition.</w:t>
      </w:r>
    </w:p>
    <w:p w:rsidR="005E4420" w:rsidRDefault="005E4420" w:rsidP="00F733A7">
      <w:pPr>
        <w:jc w:val="both"/>
        <w:rPr>
          <w:rFonts w:ascii="Arial" w:hAnsi="Arial"/>
          <w:sz w:val="20"/>
        </w:rPr>
      </w:pPr>
    </w:p>
    <w:p w:rsidR="005E4420" w:rsidRDefault="00F733A7" w:rsidP="00F733A7">
      <w:pPr>
        <w:jc w:val="both"/>
        <w:rPr>
          <w:rFonts w:ascii="Arial" w:hAnsi="Arial"/>
          <w:sz w:val="20"/>
        </w:rPr>
      </w:pPr>
      <w:r>
        <w:rPr>
          <w:rFonts w:ascii="Arial" w:hAnsi="Arial"/>
          <w:sz w:val="20"/>
        </w:rPr>
        <w:t xml:space="preserve">L'assemblée générale, ayant </w:t>
      </w:r>
      <w:r w:rsidR="00F65A11">
        <w:rPr>
          <w:rFonts w:ascii="Arial" w:hAnsi="Arial"/>
          <w:sz w:val="20"/>
        </w:rPr>
        <w:t>pris connaissance de</w:t>
      </w:r>
      <w:r w:rsidR="00105219">
        <w:rPr>
          <w:rFonts w:ascii="Arial" w:hAnsi="Arial"/>
          <w:sz w:val="20"/>
        </w:rPr>
        <w:t>s dispositions de</w:t>
      </w:r>
      <w:r w:rsidR="00F65A11">
        <w:rPr>
          <w:rFonts w:ascii="Arial" w:hAnsi="Arial"/>
          <w:sz w:val="20"/>
        </w:rPr>
        <w:t xml:space="preserve"> l’article 176 de la loi n</w:t>
      </w:r>
      <w:r w:rsidR="00F65A11" w:rsidRPr="00105219">
        <w:rPr>
          <w:rFonts w:ascii="Arial" w:hAnsi="Arial"/>
          <w:sz w:val="20"/>
        </w:rPr>
        <w:t>°</w:t>
      </w:r>
      <w:r w:rsidR="00105219">
        <w:rPr>
          <w:rFonts w:ascii="Arial" w:hAnsi="Arial"/>
          <w:sz w:val="20"/>
        </w:rPr>
        <w:t xml:space="preserve"> </w:t>
      </w:r>
      <w:r w:rsidR="00105219" w:rsidRPr="00105219">
        <w:rPr>
          <w:rFonts w:ascii="Arial" w:hAnsi="Arial"/>
          <w:sz w:val="20"/>
        </w:rPr>
        <w:t>2018-1021 du 23 novembre 2018 portant évolution du logement, de l'aménagement et du numérique</w:t>
      </w:r>
      <w:r w:rsidR="00105219">
        <w:rPr>
          <w:rFonts w:ascii="Arial" w:hAnsi="Arial"/>
          <w:sz w:val="20"/>
        </w:rPr>
        <w:t xml:space="preserve">, </w:t>
      </w:r>
      <w:r w:rsidR="005E4420">
        <w:rPr>
          <w:rFonts w:ascii="Arial" w:hAnsi="Arial"/>
          <w:sz w:val="20"/>
        </w:rPr>
        <w:t>accepte le transfert définitif de la propriété des colonnes montantes électriques situées dans l’immeuble sis …. (</w:t>
      </w:r>
      <w:proofErr w:type="gramStart"/>
      <w:r w:rsidR="005E4420">
        <w:rPr>
          <w:rFonts w:ascii="Arial" w:hAnsi="Arial"/>
          <w:sz w:val="20"/>
        </w:rPr>
        <w:t>adresse</w:t>
      </w:r>
      <w:proofErr w:type="gramEnd"/>
      <w:r w:rsidR="005E4420">
        <w:rPr>
          <w:rFonts w:ascii="Arial" w:hAnsi="Arial"/>
          <w:sz w:val="20"/>
        </w:rPr>
        <w:t xml:space="preserve"> de la copropriété) au réseau public de distribution d’électricité.</w:t>
      </w:r>
    </w:p>
    <w:p w:rsidR="005E4420" w:rsidRDefault="005E4420" w:rsidP="00F733A7">
      <w:pPr>
        <w:jc w:val="both"/>
        <w:rPr>
          <w:rFonts w:ascii="Arial" w:hAnsi="Arial"/>
          <w:sz w:val="20"/>
        </w:rPr>
      </w:pPr>
    </w:p>
    <w:p w:rsidR="0070765C" w:rsidRDefault="005E4420" w:rsidP="00F733A7">
      <w:pPr>
        <w:jc w:val="both"/>
        <w:rPr>
          <w:rFonts w:ascii="Arial" w:hAnsi="Arial"/>
          <w:sz w:val="20"/>
        </w:rPr>
      </w:pPr>
      <w:r>
        <w:rPr>
          <w:rFonts w:ascii="Arial" w:hAnsi="Arial"/>
          <w:sz w:val="20"/>
        </w:rPr>
        <w:t xml:space="preserve">Le </w:t>
      </w:r>
      <w:r w:rsidR="0070765C">
        <w:rPr>
          <w:rFonts w:ascii="Arial" w:hAnsi="Arial"/>
          <w:sz w:val="20"/>
        </w:rPr>
        <w:t>cabinet</w:t>
      </w:r>
      <w:proofErr w:type="gramStart"/>
      <w:r w:rsidR="0070765C">
        <w:rPr>
          <w:rFonts w:ascii="Arial" w:hAnsi="Arial"/>
          <w:sz w:val="20"/>
        </w:rPr>
        <w:t xml:space="preserve"> ….</w:t>
      </w:r>
      <w:proofErr w:type="gramEnd"/>
      <w:r w:rsidR="0070765C">
        <w:rPr>
          <w:rFonts w:ascii="Arial" w:hAnsi="Arial"/>
          <w:sz w:val="20"/>
        </w:rPr>
        <w:t xml:space="preserve">, </w:t>
      </w:r>
      <w:r>
        <w:rPr>
          <w:rFonts w:ascii="Arial" w:hAnsi="Arial"/>
          <w:sz w:val="20"/>
        </w:rPr>
        <w:t>syndic,</w:t>
      </w:r>
      <w:r w:rsidR="0070765C">
        <w:rPr>
          <w:rFonts w:ascii="Arial" w:hAnsi="Arial"/>
          <w:sz w:val="20"/>
        </w:rPr>
        <w:t xml:space="preserve"> notifier</w:t>
      </w:r>
      <w:r>
        <w:rPr>
          <w:rFonts w:ascii="Arial" w:hAnsi="Arial"/>
          <w:sz w:val="20"/>
        </w:rPr>
        <w:t>a cette acceptation</w:t>
      </w:r>
      <w:r w:rsidR="0070765C">
        <w:rPr>
          <w:rFonts w:ascii="Arial" w:hAnsi="Arial"/>
          <w:sz w:val="20"/>
        </w:rPr>
        <w:t xml:space="preserve"> </w:t>
      </w:r>
      <w:r w:rsidR="0070765C" w:rsidRPr="00F65A11">
        <w:rPr>
          <w:rFonts w:ascii="Arial" w:hAnsi="Arial"/>
          <w:sz w:val="20"/>
        </w:rPr>
        <w:t>au gestionnaire d</w:t>
      </w:r>
      <w:r>
        <w:rPr>
          <w:rFonts w:ascii="Arial" w:hAnsi="Arial"/>
          <w:sz w:val="20"/>
        </w:rPr>
        <w:t>u</w:t>
      </w:r>
      <w:r w:rsidR="0070765C" w:rsidRPr="00F65A11">
        <w:rPr>
          <w:rFonts w:ascii="Arial" w:hAnsi="Arial"/>
          <w:sz w:val="20"/>
        </w:rPr>
        <w:t xml:space="preserve"> réseau </w:t>
      </w:r>
      <w:r>
        <w:rPr>
          <w:rFonts w:ascii="Arial" w:hAnsi="Arial"/>
          <w:sz w:val="20"/>
        </w:rPr>
        <w:t>public de distribution</w:t>
      </w:r>
      <w:r w:rsidR="007D69EE">
        <w:rPr>
          <w:rFonts w:ascii="Arial" w:hAnsi="Arial"/>
          <w:sz w:val="20"/>
        </w:rPr>
        <w:t>.</w:t>
      </w:r>
    </w:p>
    <w:p w:rsidR="0070765C" w:rsidRDefault="0070765C" w:rsidP="00F733A7">
      <w:pPr>
        <w:jc w:val="both"/>
        <w:rPr>
          <w:rFonts w:ascii="Arial" w:hAnsi="Arial"/>
          <w:sz w:val="20"/>
        </w:rPr>
      </w:pPr>
    </w:p>
    <w:p w:rsidR="0070765C" w:rsidRDefault="0070765C" w:rsidP="00F733A7">
      <w:pPr>
        <w:jc w:val="both"/>
        <w:rPr>
          <w:rFonts w:ascii="Arial" w:hAnsi="Arial"/>
          <w:sz w:val="20"/>
        </w:rPr>
      </w:pPr>
      <w:r>
        <w:rPr>
          <w:rFonts w:ascii="Arial" w:hAnsi="Arial"/>
          <w:sz w:val="20"/>
        </w:rPr>
        <w:t>L</w:t>
      </w:r>
      <w:r w:rsidR="00206349">
        <w:rPr>
          <w:rFonts w:ascii="Arial" w:hAnsi="Arial"/>
          <w:sz w:val="20"/>
        </w:rPr>
        <w:t>’assemblée est informée qu</w:t>
      </w:r>
      <w:r>
        <w:rPr>
          <w:rFonts w:ascii="Arial" w:hAnsi="Arial"/>
          <w:sz w:val="20"/>
        </w:rPr>
        <w:t>e</w:t>
      </w:r>
      <w:r w:rsidR="00206349">
        <w:rPr>
          <w:rFonts w:ascii="Arial" w:hAnsi="Arial"/>
          <w:sz w:val="20"/>
        </w:rPr>
        <w:t xml:space="preserve"> le</w:t>
      </w:r>
      <w:r>
        <w:rPr>
          <w:rFonts w:ascii="Arial" w:hAnsi="Arial"/>
          <w:sz w:val="20"/>
        </w:rPr>
        <w:t xml:space="preserve"> transfert de ces colonnes montantes au réseau public de distribution prendra effet à compter de la notification.</w:t>
      </w:r>
    </w:p>
    <w:p w:rsidR="00F643AD" w:rsidRDefault="00F643AD" w:rsidP="00F733A7">
      <w:pPr>
        <w:jc w:val="both"/>
        <w:rPr>
          <w:rFonts w:ascii="Arial" w:hAnsi="Arial"/>
          <w:sz w:val="20"/>
        </w:rPr>
      </w:pPr>
    </w:p>
    <w:p w:rsidR="00F643AD" w:rsidRPr="00FE2B89" w:rsidRDefault="00F643AD" w:rsidP="00F643AD">
      <w:pPr>
        <w:jc w:val="both"/>
        <w:rPr>
          <w:rFonts w:ascii="Arial" w:hAnsi="Arial"/>
          <w:sz w:val="16"/>
          <w:szCs w:val="16"/>
        </w:rPr>
      </w:pPr>
    </w:p>
    <w:tbl>
      <w:tblPr>
        <w:tblW w:w="0" w:type="auto"/>
        <w:tblBorders>
          <w:insideV w:val="single" w:sz="4" w:space="0" w:color="000000"/>
        </w:tblBorders>
        <w:shd w:val="clear" w:color="auto" w:fill="A9EFFD"/>
        <w:tblLook w:val="04A0" w:firstRow="1" w:lastRow="0" w:firstColumn="1" w:lastColumn="0" w:noHBand="0" w:noVBand="1"/>
      </w:tblPr>
      <w:tblGrid>
        <w:gridCol w:w="3023"/>
        <w:gridCol w:w="3025"/>
        <w:gridCol w:w="3024"/>
      </w:tblGrid>
      <w:tr w:rsidR="00F643AD" w:rsidRPr="00FE2B89" w:rsidTr="006C1E7E">
        <w:tc>
          <w:tcPr>
            <w:tcW w:w="3070" w:type="dxa"/>
            <w:shd w:val="clear" w:color="auto" w:fill="A9EFFD"/>
          </w:tcPr>
          <w:p w:rsidR="00F643AD" w:rsidRPr="00FE2B89" w:rsidRDefault="00F643AD" w:rsidP="006C1E7E">
            <w:pPr>
              <w:jc w:val="both"/>
              <w:rPr>
                <w:rFonts w:ascii="Arial" w:hAnsi="Arial"/>
                <w:sz w:val="20"/>
              </w:rPr>
            </w:pPr>
            <w:r w:rsidRPr="00FE2B89">
              <w:rPr>
                <w:rFonts w:ascii="Arial" w:hAnsi="Arial"/>
                <w:sz w:val="20"/>
                <w:u w:val="single"/>
              </w:rPr>
              <w:t>Ont voté contre :</w:t>
            </w:r>
            <w:r w:rsidRPr="00FE2B89">
              <w:rPr>
                <w:rFonts w:ascii="Arial" w:hAnsi="Arial"/>
                <w:sz w:val="20"/>
              </w:rPr>
              <w:t xml:space="preserve"> … tantièmes</w:t>
            </w:r>
          </w:p>
        </w:tc>
        <w:tc>
          <w:tcPr>
            <w:tcW w:w="3071" w:type="dxa"/>
            <w:shd w:val="clear" w:color="auto" w:fill="A9EFFD"/>
          </w:tcPr>
          <w:p w:rsidR="00F643AD" w:rsidRPr="00FE2B89" w:rsidRDefault="00F643AD" w:rsidP="006C1E7E">
            <w:pPr>
              <w:jc w:val="both"/>
              <w:rPr>
                <w:rFonts w:ascii="Arial" w:hAnsi="Arial"/>
                <w:sz w:val="20"/>
              </w:rPr>
            </w:pPr>
            <w:r w:rsidRPr="00FE2B89">
              <w:rPr>
                <w:rFonts w:ascii="Arial" w:hAnsi="Arial"/>
                <w:sz w:val="20"/>
                <w:u w:val="single"/>
              </w:rPr>
              <w:t>Se sont abstenus :</w:t>
            </w:r>
            <w:r w:rsidRPr="00FE2B89">
              <w:rPr>
                <w:rFonts w:ascii="Arial" w:hAnsi="Arial"/>
                <w:sz w:val="20"/>
              </w:rPr>
              <w:t xml:space="preserve"> … tantièmes</w:t>
            </w:r>
          </w:p>
        </w:tc>
        <w:tc>
          <w:tcPr>
            <w:tcW w:w="3071" w:type="dxa"/>
            <w:shd w:val="clear" w:color="auto" w:fill="A9EFFD"/>
          </w:tcPr>
          <w:p w:rsidR="00F643AD" w:rsidRPr="00FE2B89" w:rsidRDefault="00F643AD" w:rsidP="006C1E7E">
            <w:pPr>
              <w:jc w:val="both"/>
              <w:rPr>
                <w:rFonts w:ascii="Arial" w:hAnsi="Arial"/>
                <w:sz w:val="20"/>
                <w:u w:val="single"/>
              </w:rPr>
            </w:pPr>
            <w:r w:rsidRPr="00FE2B89">
              <w:rPr>
                <w:rFonts w:ascii="Arial" w:hAnsi="Arial"/>
                <w:sz w:val="20"/>
                <w:u w:val="single"/>
              </w:rPr>
              <w:t>Ont voté pour :</w:t>
            </w:r>
          </w:p>
        </w:tc>
      </w:tr>
      <w:tr w:rsidR="00F643AD" w:rsidRPr="00FE2B89" w:rsidTr="006C1E7E">
        <w:tc>
          <w:tcPr>
            <w:tcW w:w="3070" w:type="dxa"/>
            <w:shd w:val="clear" w:color="auto" w:fill="A9EFFD"/>
          </w:tcPr>
          <w:p w:rsidR="00F643AD" w:rsidRPr="00FE2B89" w:rsidRDefault="00F643AD" w:rsidP="006C1E7E">
            <w:pPr>
              <w:jc w:val="both"/>
              <w:rPr>
                <w:rFonts w:ascii="Arial" w:hAnsi="Arial"/>
                <w:sz w:val="20"/>
              </w:rPr>
            </w:pPr>
            <w:r w:rsidRPr="00FE2B89">
              <w:rPr>
                <w:rFonts w:ascii="Arial" w:hAnsi="Arial"/>
                <w:sz w:val="20"/>
              </w:rPr>
              <w:t>M. ...= ... tantièmes</w:t>
            </w:r>
          </w:p>
        </w:tc>
        <w:tc>
          <w:tcPr>
            <w:tcW w:w="3071" w:type="dxa"/>
            <w:shd w:val="clear" w:color="auto" w:fill="A9EFFD"/>
          </w:tcPr>
          <w:p w:rsidR="00F643AD" w:rsidRPr="00FE2B89" w:rsidRDefault="00F643AD" w:rsidP="006C1E7E">
            <w:pPr>
              <w:jc w:val="both"/>
              <w:rPr>
                <w:rFonts w:ascii="Arial" w:hAnsi="Arial"/>
                <w:sz w:val="20"/>
              </w:rPr>
            </w:pPr>
            <w:r w:rsidRPr="00FE2B89">
              <w:rPr>
                <w:rFonts w:ascii="Arial" w:hAnsi="Arial"/>
                <w:sz w:val="20"/>
              </w:rPr>
              <w:t>M. ...= ... tantièmes</w:t>
            </w:r>
          </w:p>
        </w:tc>
        <w:tc>
          <w:tcPr>
            <w:tcW w:w="3071" w:type="dxa"/>
            <w:shd w:val="clear" w:color="auto" w:fill="A9EFFD"/>
          </w:tcPr>
          <w:p w:rsidR="00F643AD" w:rsidRPr="00FE2B89" w:rsidRDefault="00F643AD" w:rsidP="006C1E7E">
            <w:pPr>
              <w:jc w:val="both"/>
              <w:rPr>
                <w:rFonts w:ascii="Arial" w:hAnsi="Arial"/>
                <w:sz w:val="20"/>
              </w:rPr>
            </w:pPr>
            <w:r w:rsidRPr="00FE2B89">
              <w:rPr>
                <w:rFonts w:ascii="Arial" w:hAnsi="Arial"/>
                <w:sz w:val="20"/>
              </w:rPr>
              <w:t>... tantièmes</w:t>
            </w:r>
          </w:p>
        </w:tc>
      </w:tr>
      <w:tr w:rsidR="00F643AD" w:rsidRPr="00FE2B89" w:rsidTr="006C1E7E">
        <w:tc>
          <w:tcPr>
            <w:tcW w:w="3070" w:type="dxa"/>
            <w:shd w:val="clear" w:color="auto" w:fill="A9EFFD"/>
          </w:tcPr>
          <w:p w:rsidR="00F643AD" w:rsidRPr="00FE2B89" w:rsidRDefault="00F643AD" w:rsidP="006C1E7E">
            <w:pPr>
              <w:jc w:val="both"/>
              <w:rPr>
                <w:rFonts w:ascii="Arial" w:hAnsi="Arial"/>
                <w:sz w:val="20"/>
              </w:rPr>
            </w:pPr>
            <w:r w:rsidRPr="00FE2B89">
              <w:rPr>
                <w:rFonts w:ascii="Arial" w:hAnsi="Arial"/>
                <w:sz w:val="20"/>
              </w:rPr>
              <w:t>M. ...= ... tantièmes</w:t>
            </w:r>
          </w:p>
        </w:tc>
        <w:tc>
          <w:tcPr>
            <w:tcW w:w="3071" w:type="dxa"/>
            <w:shd w:val="clear" w:color="auto" w:fill="A9EFFD"/>
          </w:tcPr>
          <w:p w:rsidR="00F643AD" w:rsidRPr="00FE2B89" w:rsidRDefault="00F643AD" w:rsidP="006C1E7E">
            <w:pPr>
              <w:jc w:val="both"/>
              <w:rPr>
                <w:rFonts w:ascii="Arial" w:hAnsi="Arial"/>
                <w:sz w:val="20"/>
              </w:rPr>
            </w:pPr>
            <w:r w:rsidRPr="00FE2B89">
              <w:rPr>
                <w:rFonts w:ascii="Arial" w:hAnsi="Arial"/>
                <w:sz w:val="20"/>
              </w:rPr>
              <w:t>M. ...= ... tantièmes</w:t>
            </w:r>
          </w:p>
        </w:tc>
        <w:tc>
          <w:tcPr>
            <w:tcW w:w="3071" w:type="dxa"/>
            <w:shd w:val="clear" w:color="auto" w:fill="A9EFFD"/>
          </w:tcPr>
          <w:p w:rsidR="00F643AD" w:rsidRPr="00FE2B89" w:rsidRDefault="00F643AD" w:rsidP="006C1E7E">
            <w:pPr>
              <w:jc w:val="both"/>
              <w:rPr>
                <w:rFonts w:ascii="Arial" w:hAnsi="Arial"/>
                <w:sz w:val="20"/>
                <w:u w:val="single"/>
              </w:rPr>
            </w:pPr>
          </w:p>
        </w:tc>
      </w:tr>
      <w:tr w:rsidR="00F643AD" w:rsidRPr="00FE2B89" w:rsidTr="006C1E7E">
        <w:tc>
          <w:tcPr>
            <w:tcW w:w="3070" w:type="dxa"/>
            <w:shd w:val="clear" w:color="auto" w:fill="A9EFFD"/>
          </w:tcPr>
          <w:p w:rsidR="00F643AD" w:rsidRPr="00FE2B89" w:rsidRDefault="00F643AD" w:rsidP="006C1E7E">
            <w:pPr>
              <w:jc w:val="both"/>
              <w:rPr>
                <w:rFonts w:ascii="Arial" w:hAnsi="Arial"/>
                <w:sz w:val="20"/>
              </w:rPr>
            </w:pPr>
            <w:r w:rsidRPr="00FE2B89">
              <w:rPr>
                <w:rFonts w:ascii="Arial" w:hAnsi="Arial"/>
                <w:sz w:val="20"/>
              </w:rPr>
              <w:t>M. ...= ... tantièmes</w:t>
            </w:r>
          </w:p>
        </w:tc>
        <w:tc>
          <w:tcPr>
            <w:tcW w:w="3071" w:type="dxa"/>
            <w:shd w:val="clear" w:color="auto" w:fill="A9EFFD"/>
          </w:tcPr>
          <w:p w:rsidR="00F643AD" w:rsidRPr="00FE2B89" w:rsidRDefault="00F643AD" w:rsidP="006C1E7E">
            <w:pPr>
              <w:jc w:val="both"/>
              <w:rPr>
                <w:rFonts w:ascii="Arial" w:hAnsi="Arial"/>
                <w:sz w:val="20"/>
              </w:rPr>
            </w:pPr>
            <w:r w:rsidRPr="00FE2B89">
              <w:rPr>
                <w:rFonts w:ascii="Arial" w:hAnsi="Arial"/>
                <w:sz w:val="20"/>
              </w:rPr>
              <w:t>M. ...= ... tantièmes</w:t>
            </w:r>
          </w:p>
        </w:tc>
        <w:tc>
          <w:tcPr>
            <w:tcW w:w="3071" w:type="dxa"/>
            <w:shd w:val="clear" w:color="auto" w:fill="A9EFFD"/>
          </w:tcPr>
          <w:p w:rsidR="00F643AD" w:rsidRPr="00FE2B89" w:rsidRDefault="00F643AD" w:rsidP="006C1E7E">
            <w:pPr>
              <w:jc w:val="both"/>
              <w:rPr>
                <w:rFonts w:ascii="Arial" w:hAnsi="Arial"/>
                <w:sz w:val="20"/>
                <w:u w:val="single"/>
              </w:rPr>
            </w:pPr>
          </w:p>
        </w:tc>
      </w:tr>
    </w:tbl>
    <w:p w:rsidR="00F643AD" w:rsidRPr="00FE2B89" w:rsidRDefault="00F643AD" w:rsidP="00F643AD">
      <w:pPr>
        <w:jc w:val="both"/>
        <w:rPr>
          <w:rFonts w:ascii="Arial" w:hAnsi="Arial"/>
          <w:sz w:val="16"/>
          <w:szCs w:val="16"/>
        </w:rPr>
      </w:pPr>
    </w:p>
    <w:p w:rsidR="00F643AD" w:rsidRPr="00FE2B89" w:rsidRDefault="00F643AD" w:rsidP="00F643AD">
      <w:pPr>
        <w:jc w:val="both"/>
        <w:rPr>
          <w:rFonts w:ascii="Arial" w:hAnsi="Arial"/>
          <w:b/>
          <w:sz w:val="20"/>
        </w:rPr>
      </w:pPr>
      <w:r w:rsidRPr="00FE2B89">
        <w:rPr>
          <w:rFonts w:ascii="Arial" w:hAnsi="Arial"/>
          <w:b/>
          <w:sz w:val="20"/>
        </w:rPr>
        <w:t>En conséquence, cette résolution est :</w:t>
      </w:r>
    </w:p>
    <w:p w:rsidR="00F643AD" w:rsidRPr="00FE2B89" w:rsidRDefault="00F643AD" w:rsidP="00F643AD">
      <w:pPr>
        <w:jc w:val="both"/>
        <w:rPr>
          <w:rFonts w:ascii="Arial" w:hAnsi="Arial"/>
          <w:sz w:val="20"/>
        </w:rPr>
      </w:pPr>
      <w:r w:rsidRPr="00FE2B89">
        <w:rPr>
          <w:rFonts w:ascii="Arial" w:hAnsi="Arial"/>
          <w:sz w:val="20"/>
        </w:rPr>
        <w:t>- est adoptée dans les conditions de majorité de l'article 26</w:t>
      </w:r>
    </w:p>
    <w:p w:rsidR="00F643AD" w:rsidRPr="00FE2B89" w:rsidRDefault="00F643AD" w:rsidP="00F643AD">
      <w:pPr>
        <w:jc w:val="both"/>
        <w:rPr>
          <w:rFonts w:ascii="Arial" w:hAnsi="Arial"/>
          <w:sz w:val="20"/>
        </w:rPr>
      </w:pPr>
      <w:r w:rsidRPr="00FE2B89">
        <w:rPr>
          <w:rFonts w:ascii="Arial" w:hAnsi="Arial"/>
          <w:sz w:val="20"/>
        </w:rPr>
        <w:t>- n'a pas recueilli la majorité de l'article 26.</w:t>
      </w:r>
    </w:p>
    <w:p w:rsidR="00F643AD" w:rsidRDefault="00F643AD" w:rsidP="00F733A7">
      <w:pPr>
        <w:jc w:val="both"/>
        <w:rPr>
          <w:rFonts w:ascii="Arial" w:hAnsi="Arial"/>
          <w:sz w:val="20"/>
        </w:rPr>
      </w:pPr>
    </w:p>
    <w:p w:rsidR="00F733A7" w:rsidRDefault="00F733A7" w:rsidP="00F733A7">
      <w:pPr>
        <w:jc w:val="center"/>
      </w:pPr>
      <w:r>
        <w:t>***</w:t>
      </w:r>
    </w:p>
    <w:p w:rsidR="00F733A7" w:rsidRDefault="00F733A7" w:rsidP="00F733A7"/>
    <w:p w:rsidR="00F733A7" w:rsidRDefault="00F733A7" w:rsidP="00F733A7">
      <w:pPr>
        <w:jc w:val="center"/>
        <w:rPr>
          <w:rFonts w:ascii="Arial" w:hAnsi="Arial" w:cs="Arial"/>
          <w:b/>
          <w:sz w:val="20"/>
        </w:rPr>
      </w:pPr>
      <w:r>
        <w:rPr>
          <w:rFonts w:ascii="Arial" w:hAnsi="Arial" w:cs="Arial"/>
          <w:b/>
          <w:sz w:val="20"/>
        </w:rPr>
        <w:t>Texte de référence</w:t>
      </w:r>
    </w:p>
    <w:p w:rsidR="00F733A7" w:rsidRDefault="00F733A7" w:rsidP="00F733A7">
      <w:pPr>
        <w:rPr>
          <w:rFonts w:ascii="Arial" w:hAnsi="Arial" w:cs="Arial"/>
          <w:b/>
          <w:sz w:val="20"/>
        </w:rPr>
      </w:pPr>
    </w:p>
    <w:p w:rsidR="00F733A7" w:rsidRDefault="00F65A11" w:rsidP="00F733A7">
      <w:pPr>
        <w:jc w:val="both"/>
        <w:rPr>
          <w:rFonts w:ascii="Arial" w:hAnsi="Arial"/>
          <w:i/>
          <w:sz w:val="20"/>
        </w:rPr>
      </w:pPr>
      <w:r>
        <w:rPr>
          <w:rFonts w:ascii="Arial" w:hAnsi="Arial" w:cs="Arial"/>
          <w:b/>
          <w:sz w:val="20"/>
        </w:rPr>
        <w:t>Art 176 de la loi ELAN</w:t>
      </w:r>
    </w:p>
    <w:p w:rsidR="00F65A11" w:rsidRPr="00F65A11" w:rsidRDefault="00F65A11" w:rsidP="00F65A11">
      <w:pPr>
        <w:shd w:val="clear" w:color="auto" w:fill="FFFFFF"/>
        <w:rPr>
          <w:rFonts w:ascii="Arial" w:hAnsi="Arial"/>
          <w:sz w:val="20"/>
        </w:rPr>
      </w:pPr>
      <w:r>
        <w:rPr>
          <w:rFonts w:ascii="Arial" w:eastAsia="Times New Roman" w:hAnsi="Arial" w:cs="Arial"/>
          <w:color w:val="000000"/>
          <w:sz w:val="19"/>
          <w:szCs w:val="19"/>
        </w:rPr>
        <w:br/>
      </w:r>
      <w:r w:rsidRPr="00F65A11">
        <w:rPr>
          <w:rFonts w:ascii="Arial" w:hAnsi="Arial"/>
          <w:sz w:val="20"/>
        </w:rPr>
        <w:t>I.-Le titre IV du livre III du code de l'énergie est complété par un chapitre VI ainsi rédigé :</w:t>
      </w:r>
    </w:p>
    <w:p w:rsidR="00F65A11" w:rsidRPr="00F65A11" w:rsidRDefault="00F65A11" w:rsidP="00F65A11">
      <w:pPr>
        <w:shd w:val="clear" w:color="auto" w:fill="FFFFFF"/>
        <w:rPr>
          <w:rFonts w:ascii="Arial" w:hAnsi="Arial"/>
          <w:sz w:val="20"/>
        </w:rPr>
      </w:pPr>
      <w:r w:rsidRPr="00F65A11">
        <w:rPr>
          <w:rFonts w:ascii="Arial" w:hAnsi="Arial"/>
          <w:sz w:val="20"/>
        </w:rPr>
        <w:br/>
        <w:t>Chapitre VI Colonnes montantes électriques</w:t>
      </w:r>
    </w:p>
    <w:p w:rsidR="00F65A11" w:rsidRPr="00F65A11" w:rsidRDefault="00F65A11" w:rsidP="00F65A11">
      <w:pPr>
        <w:shd w:val="clear" w:color="auto" w:fill="FFFFFF"/>
        <w:rPr>
          <w:rFonts w:ascii="Arial" w:hAnsi="Arial"/>
          <w:sz w:val="20"/>
        </w:rPr>
      </w:pPr>
      <w:r w:rsidRPr="00F65A11">
        <w:rPr>
          <w:rFonts w:ascii="Arial" w:hAnsi="Arial"/>
          <w:sz w:val="20"/>
        </w:rPr>
        <w:br/>
        <w:t xml:space="preserve">Art. L. 346-1.-La colonne montante électrique désigne l'ensemble des ouvrages électriques situés en aval du coupe-circuit principal nécessaires au raccordement au réseau public de distribution </w:t>
      </w:r>
      <w:r w:rsidRPr="00F65A11">
        <w:rPr>
          <w:rFonts w:ascii="Arial" w:hAnsi="Arial"/>
          <w:sz w:val="20"/>
        </w:rPr>
        <w:lastRenderedPageBreak/>
        <w:t>d'électricité des différents consommateurs ou producteurs situés au sein d'un même immeuble ou de bâtiments séparés construits sur une même parcelle cadastrale, à l'exception des dispositifs de comptage.</w:t>
      </w:r>
    </w:p>
    <w:p w:rsidR="00F65A11" w:rsidRPr="00F65A11" w:rsidRDefault="00F65A11" w:rsidP="00F65A11">
      <w:pPr>
        <w:shd w:val="clear" w:color="auto" w:fill="FFFFFF"/>
        <w:rPr>
          <w:rFonts w:ascii="Arial" w:hAnsi="Arial"/>
          <w:sz w:val="20"/>
        </w:rPr>
      </w:pPr>
      <w:r w:rsidRPr="00F65A11">
        <w:rPr>
          <w:rFonts w:ascii="Arial" w:hAnsi="Arial"/>
          <w:sz w:val="20"/>
        </w:rPr>
        <w:br/>
        <w:t>Art. L. 346-2.-Les colonnes montantes électriques mises en service avant la publication de la loi n° 2018-1021 du 23 novembre 2018 portant évolution du logement, de l'aménagement et du numérique appartiennent au réseau public de distribution d'électricité. </w:t>
      </w:r>
      <w:r w:rsidRPr="00F65A11">
        <w:rPr>
          <w:rFonts w:ascii="Arial" w:hAnsi="Arial"/>
          <w:sz w:val="20"/>
        </w:rPr>
        <w:br/>
        <w:t>Le premier alinéa entre en vigueur à l'issue d'un délai de deux ans à compter de la promulgation de la loi n° 2018-1021 du 23 novembre 2018 précitée. Dans ce même délai, les propriétaires ou copropriétaires des immeubles dans lesquels sont situés ces ouvrages peuvent : </w:t>
      </w:r>
      <w:r w:rsidRPr="00F65A11">
        <w:rPr>
          <w:rFonts w:ascii="Arial" w:hAnsi="Arial"/>
          <w:sz w:val="20"/>
        </w:rPr>
        <w:br/>
        <w:t>1° Notifier au gestionnaire de réseau l'acceptation du transfert définitif au réseau public de distribution d'électricité desdits ouvrages, qui prend alors effet à compter de la notification. Le transfert est effectué à titre gratuit, sans contrepartie pour le gestionnaire de réseau. Le gestionnaire de réseau ne peut s'opposer au transfert ni exiger une contrepartie financière ; </w:t>
      </w:r>
      <w:r w:rsidRPr="00F65A11">
        <w:rPr>
          <w:rFonts w:ascii="Arial" w:hAnsi="Arial"/>
          <w:sz w:val="20"/>
        </w:rPr>
        <w:br/>
        <w:t>2° Revendiquer la propriété de ces ouvrages, sauf si le gestionnaire de réseau ou l'autorité concédante apporte la preuve que lesdits ouvrages appartiennent déjà au réseau public de distribution d'électricité.</w:t>
      </w:r>
    </w:p>
    <w:p w:rsidR="00F65A11" w:rsidRPr="00F65A11" w:rsidRDefault="00F65A11" w:rsidP="00F65A11">
      <w:pPr>
        <w:shd w:val="clear" w:color="auto" w:fill="FFFFFF"/>
        <w:rPr>
          <w:rFonts w:ascii="Arial" w:hAnsi="Arial"/>
          <w:sz w:val="20"/>
        </w:rPr>
      </w:pPr>
      <w:r w:rsidRPr="00F65A11">
        <w:rPr>
          <w:rFonts w:ascii="Arial" w:hAnsi="Arial"/>
          <w:sz w:val="20"/>
        </w:rPr>
        <w:br/>
        <w:t>Art. L. 346-3.-Les colonnes montantes électriques mises en service à compter de la publication de la loi n° 2018-1021 du 23 novembre 2018 portant évolution du logement, de l'aménagement et du numérique appartiennent au réseau public de distribution d'électricité.</w:t>
      </w:r>
    </w:p>
    <w:p w:rsidR="00F65A11" w:rsidRPr="00F65A11" w:rsidRDefault="00F65A11" w:rsidP="00F65A11">
      <w:pPr>
        <w:shd w:val="clear" w:color="auto" w:fill="FFFFFF"/>
        <w:rPr>
          <w:rFonts w:ascii="Arial" w:hAnsi="Arial"/>
          <w:sz w:val="20"/>
        </w:rPr>
      </w:pPr>
      <w:r w:rsidRPr="00F65A11">
        <w:rPr>
          <w:rFonts w:ascii="Arial" w:hAnsi="Arial"/>
          <w:sz w:val="20"/>
        </w:rPr>
        <w:br/>
        <w:t>Art. L. 346-4.-Lorsque les propriétaires ou copropriétaires des immeubles dans lesquels sont situés ces ouvrages en ont obtenu la propriété en application du dernier alinéa de l'article L. 346-2, les colonnes montantes électriques peuvent être transférées, à la demande des mêmes propriétaires ou copropriétaires, au réseau public de distribution d'électricité sous réserve de leur bon état de fonctionnement. Elles sont transférées à titre gratuit, sans contrepartie pour le gestionnaire de réseau. Le gestionnaire de réseau ne peut s'opposer au transfert des ouvrages en bon état de fonctionnement ni exiger une contrepartie financière. Il détermine, le cas échéant, les travaux électriques à réaliser pour assurer le bon état de fonctionnement desdits ouvrages. </w:t>
      </w:r>
      <w:r w:rsidRPr="00F65A11">
        <w:rPr>
          <w:rFonts w:ascii="Arial" w:hAnsi="Arial"/>
          <w:sz w:val="20"/>
        </w:rPr>
        <w:br/>
        <w:t>Le premier alinéa du présent article entre en vigueur à l'issue d'un délai de deux ans à compter de la promulgation de la loi n° 2018-1021 du 23 novembre 2018 portant évolution du logement, de l'aménagement et du numérique.</w:t>
      </w:r>
    </w:p>
    <w:p w:rsidR="00F65A11" w:rsidRDefault="00F65A11" w:rsidP="00F65A11">
      <w:pPr>
        <w:shd w:val="clear" w:color="auto" w:fill="FFFFFF"/>
        <w:rPr>
          <w:rFonts w:ascii="Arial" w:hAnsi="Arial"/>
          <w:sz w:val="20"/>
        </w:rPr>
      </w:pPr>
    </w:p>
    <w:p w:rsidR="00F65A11" w:rsidRPr="00F65A11" w:rsidRDefault="00F65A11" w:rsidP="00F65A11">
      <w:pPr>
        <w:shd w:val="clear" w:color="auto" w:fill="FFFFFF"/>
        <w:rPr>
          <w:rFonts w:ascii="Arial" w:hAnsi="Arial"/>
          <w:sz w:val="20"/>
        </w:rPr>
      </w:pPr>
      <w:r w:rsidRPr="00F65A11">
        <w:rPr>
          <w:rFonts w:ascii="Arial" w:hAnsi="Arial"/>
          <w:sz w:val="20"/>
        </w:rPr>
        <w:t>Art. L. 346-5.-Les ouvrages mentionnés aux articles L. 344-1 et L. 345-2 ne sont pas soumis aux dispositions du présent chapitre.</w:t>
      </w:r>
    </w:p>
    <w:p w:rsidR="00F65A11" w:rsidRPr="00F65A11" w:rsidRDefault="00F65A11" w:rsidP="00F65A11">
      <w:pPr>
        <w:shd w:val="clear" w:color="auto" w:fill="FFFFFF"/>
        <w:rPr>
          <w:rFonts w:ascii="Arial" w:hAnsi="Arial"/>
          <w:sz w:val="20"/>
        </w:rPr>
      </w:pPr>
      <w:r w:rsidRPr="00F65A11">
        <w:rPr>
          <w:rFonts w:ascii="Arial" w:hAnsi="Arial"/>
          <w:sz w:val="20"/>
        </w:rPr>
        <w:br/>
        <w:t>II.-Nonobstant les éventuelles clauses contraires des contrats de concession, les entreprises concessionnaires de la distribution publique d'électricité ne sont tenues, au cours et à l'issue des contrats conclus avec l'autorité concédante, à aucune obligation financière liée aux provisions pour renouvellement des colonnes montantes électriques transférées au réseau public de distribution d'électricité au titre du chapitre VI du titre IV du livre III du code de l'énergie.</w:t>
      </w:r>
    </w:p>
    <w:p w:rsidR="004D023F" w:rsidRDefault="00574BED"/>
    <w:sectPr w:rsidR="004D02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9B1" w:rsidRDefault="003B49B1" w:rsidP="00594B0B">
      <w:r>
        <w:separator/>
      </w:r>
    </w:p>
  </w:endnote>
  <w:endnote w:type="continuationSeparator" w:id="0">
    <w:p w:rsidR="003B49B1" w:rsidRDefault="003B49B1" w:rsidP="0059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B" w:rsidRDefault="00594B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B" w:rsidRDefault="00594B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B" w:rsidRDefault="00594B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9B1" w:rsidRDefault="003B49B1" w:rsidP="00594B0B">
      <w:r>
        <w:separator/>
      </w:r>
    </w:p>
  </w:footnote>
  <w:footnote w:type="continuationSeparator" w:id="0">
    <w:p w:rsidR="003B49B1" w:rsidRDefault="003B49B1" w:rsidP="0059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B" w:rsidRDefault="00594B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B" w:rsidRDefault="00594B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B" w:rsidRDefault="00594B0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3A7"/>
    <w:rsid w:val="00105219"/>
    <w:rsid w:val="00206349"/>
    <w:rsid w:val="003B49B1"/>
    <w:rsid w:val="00574BED"/>
    <w:rsid w:val="00594B0B"/>
    <w:rsid w:val="005E4420"/>
    <w:rsid w:val="0070765C"/>
    <w:rsid w:val="007D69EE"/>
    <w:rsid w:val="00891566"/>
    <w:rsid w:val="00A126B9"/>
    <w:rsid w:val="00CB052D"/>
    <w:rsid w:val="00F643AD"/>
    <w:rsid w:val="00F65A11"/>
    <w:rsid w:val="00F73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FA5657"/>
  <w15:chartTrackingRefBased/>
  <w15:docId w15:val="{DAFB0417-874A-4B91-BEB5-050CAB3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3A7"/>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05219"/>
    <w:rPr>
      <w:b/>
      <w:bCs/>
    </w:rPr>
  </w:style>
  <w:style w:type="paragraph" w:styleId="En-tte">
    <w:name w:val="header"/>
    <w:basedOn w:val="Normal"/>
    <w:link w:val="En-tteCar"/>
    <w:uiPriority w:val="99"/>
    <w:unhideWhenUsed/>
    <w:rsid w:val="00594B0B"/>
    <w:pPr>
      <w:tabs>
        <w:tab w:val="center" w:pos="4536"/>
        <w:tab w:val="right" w:pos="9072"/>
      </w:tabs>
    </w:pPr>
  </w:style>
  <w:style w:type="character" w:customStyle="1" w:styleId="En-tteCar">
    <w:name w:val="En-tête Car"/>
    <w:basedOn w:val="Policepardfaut"/>
    <w:link w:val="En-tte"/>
    <w:uiPriority w:val="99"/>
    <w:rsid w:val="00594B0B"/>
    <w:rPr>
      <w:rFonts w:ascii="Times" w:eastAsia="Times" w:hAnsi="Times" w:cs="Times New Roman"/>
      <w:sz w:val="24"/>
      <w:szCs w:val="20"/>
      <w:lang w:eastAsia="fr-FR"/>
    </w:rPr>
  </w:style>
  <w:style w:type="paragraph" w:styleId="Pieddepage">
    <w:name w:val="footer"/>
    <w:basedOn w:val="Normal"/>
    <w:link w:val="PieddepageCar"/>
    <w:uiPriority w:val="99"/>
    <w:unhideWhenUsed/>
    <w:rsid w:val="00594B0B"/>
    <w:pPr>
      <w:tabs>
        <w:tab w:val="center" w:pos="4536"/>
        <w:tab w:val="right" w:pos="9072"/>
      </w:tabs>
    </w:pPr>
  </w:style>
  <w:style w:type="character" w:customStyle="1" w:styleId="PieddepageCar">
    <w:name w:val="Pied de page Car"/>
    <w:basedOn w:val="Policepardfaut"/>
    <w:link w:val="Pieddepage"/>
    <w:uiPriority w:val="99"/>
    <w:rsid w:val="00594B0B"/>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46600">
      <w:bodyDiv w:val="1"/>
      <w:marLeft w:val="0"/>
      <w:marRight w:val="0"/>
      <w:marTop w:val="0"/>
      <w:marBottom w:val="0"/>
      <w:divBdr>
        <w:top w:val="none" w:sz="0" w:space="0" w:color="auto"/>
        <w:left w:val="none" w:sz="0" w:space="0" w:color="auto"/>
        <w:bottom w:val="none" w:sz="0" w:space="0" w:color="auto"/>
        <w:right w:val="none" w:sz="0" w:space="0" w:color="auto"/>
      </w:divBdr>
    </w:div>
    <w:div w:id="18225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8CBE-BCB4-4F78-97FA-B9D678E2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882</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Ysoline Régnault de la Mothe</dc:creator>
  <cp:keywords/>
  <dc:description/>
  <cp:lastModifiedBy>Ysoline Régnault de la Mothe</cp:lastModifiedBy>
  <cp:revision>9</cp:revision>
  <cp:lastPrinted>2019-02-12T14:07:00Z</cp:lastPrinted>
  <dcterms:created xsi:type="dcterms:W3CDTF">2017-11-22T09:45:00Z</dcterms:created>
  <dcterms:modified xsi:type="dcterms:W3CDTF">2019-04-03T15:12:00Z</dcterms:modified>
</cp:coreProperties>
</file>