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2E83" w14:textId="30E2F7AB" w:rsidR="0062371A" w:rsidRPr="0062371A" w:rsidRDefault="0062371A" w:rsidP="0062371A">
      <w:pPr>
        <w:pBdr>
          <w:top w:val="single" w:sz="36" w:space="0" w:color="003366"/>
          <w:left w:val="single" w:sz="36" w:space="4" w:color="003366"/>
          <w:bottom w:val="single" w:sz="36" w:space="1" w:color="003366"/>
          <w:right w:val="single" w:sz="36" w:space="4" w:color="003366"/>
        </w:pBdr>
        <w:shd w:val="clear" w:color="auto" w:fill="A9EFFD"/>
        <w:jc w:val="center"/>
        <w:rPr>
          <w:rFonts w:ascii="Arial" w:hAnsi="Arial" w:cs="Arial"/>
          <w:iCs/>
          <w:sz w:val="24"/>
          <w:szCs w:val="24"/>
        </w:rPr>
      </w:pPr>
      <w:r>
        <w:rPr>
          <w:rFonts w:ascii="Arial" w:hAnsi="Arial" w:cs="Arial"/>
          <w:sz w:val="28"/>
          <w:szCs w:val="28"/>
        </w:rPr>
        <w:t>Participation à distance aux A</w:t>
      </w:r>
      <w:r w:rsidR="00697F7D">
        <w:rPr>
          <w:rFonts w:ascii="Arial" w:hAnsi="Arial" w:cs="Arial"/>
          <w:sz w:val="28"/>
          <w:szCs w:val="28"/>
        </w:rPr>
        <w:t>G (ELAN)</w:t>
      </w:r>
    </w:p>
    <w:p w14:paraId="70D70EDC" w14:textId="05620330" w:rsidR="0062371A" w:rsidRPr="0062371A" w:rsidRDefault="0062371A" w:rsidP="008E1CA7">
      <w:pPr>
        <w:suppressAutoHyphens/>
        <w:contextualSpacing/>
        <w:jc w:val="both"/>
        <w:rPr>
          <w:rFonts w:ascii="Arial" w:hAnsi="Arial" w:cs="Arial"/>
          <w:bCs/>
          <w:sz w:val="16"/>
          <w:szCs w:val="16"/>
        </w:rPr>
      </w:pPr>
    </w:p>
    <w:p w14:paraId="2C0D13E0" w14:textId="263AB756" w:rsidR="008E1CA7" w:rsidRPr="008E1CA7" w:rsidRDefault="008E1CA7" w:rsidP="008E1CA7">
      <w:pPr>
        <w:suppressAutoHyphens/>
        <w:contextualSpacing/>
        <w:jc w:val="both"/>
        <w:rPr>
          <w:rFonts w:ascii="Arial" w:hAnsi="Arial" w:cs="Arial"/>
          <w:bCs/>
          <w:sz w:val="20"/>
          <w:szCs w:val="20"/>
        </w:rPr>
      </w:pPr>
      <w:r w:rsidRPr="008E1CA7">
        <w:rPr>
          <w:rFonts w:ascii="Arial" w:hAnsi="Arial" w:cs="Arial"/>
          <w:bCs/>
          <w:sz w:val="20"/>
          <w:szCs w:val="20"/>
        </w:rPr>
        <w:t>Les copropriétaires ayant été informés des dispositions de l’article 17-1 A de la loi du 10 juillet 1965 donnant la possibilité de participer à l’</w:t>
      </w:r>
      <w:r w:rsidR="0062371A">
        <w:rPr>
          <w:rFonts w:ascii="Arial" w:hAnsi="Arial" w:cs="Arial"/>
          <w:bCs/>
          <w:sz w:val="20"/>
          <w:szCs w:val="20"/>
        </w:rPr>
        <w:t>assemblée</w:t>
      </w:r>
      <w:r w:rsidRPr="008E1CA7">
        <w:rPr>
          <w:rFonts w:ascii="Arial" w:hAnsi="Arial" w:cs="Arial"/>
          <w:bCs/>
          <w:sz w:val="20"/>
          <w:szCs w:val="20"/>
        </w:rPr>
        <w:t xml:space="preserve"> notamment par visioconférence ou par tout autre moyen de communication électronique permettant leur identification, l’assemblée générale décide des moyens et supports techniques nécessaires ainsi que des garanties permettant de s’assurer de l’identité de chaque participant : …. (</w:t>
      </w:r>
      <w:proofErr w:type="gramStart"/>
      <w:r w:rsidRPr="00697F7D">
        <w:rPr>
          <w:rFonts w:ascii="Arial" w:hAnsi="Arial" w:cs="Arial"/>
          <w:bCs/>
          <w:i/>
          <w:iCs/>
          <w:sz w:val="20"/>
          <w:szCs w:val="20"/>
        </w:rPr>
        <w:t>détaillez</w:t>
      </w:r>
      <w:proofErr w:type="gramEnd"/>
      <w:r w:rsidRPr="00697F7D">
        <w:rPr>
          <w:rFonts w:ascii="Arial" w:hAnsi="Arial" w:cs="Arial"/>
          <w:bCs/>
          <w:i/>
          <w:iCs/>
          <w:sz w:val="20"/>
          <w:szCs w:val="20"/>
        </w:rPr>
        <w:t xml:space="preserve"> avec choix du devis</w:t>
      </w:r>
      <w:r w:rsidRPr="008E1CA7">
        <w:rPr>
          <w:rFonts w:ascii="Arial" w:hAnsi="Arial" w:cs="Arial"/>
          <w:bCs/>
          <w:sz w:val="20"/>
          <w:szCs w:val="20"/>
        </w:rPr>
        <w:t>) pour un montant de …. €</w:t>
      </w:r>
    </w:p>
    <w:p w14:paraId="0CC04EB2" w14:textId="77777777" w:rsidR="008E1CA7" w:rsidRPr="0062371A" w:rsidRDefault="008E1CA7" w:rsidP="008E1CA7">
      <w:pPr>
        <w:suppressAutoHyphens/>
        <w:contextualSpacing/>
        <w:jc w:val="both"/>
        <w:rPr>
          <w:rFonts w:ascii="Arial" w:hAnsi="Arial" w:cs="Arial"/>
          <w:bCs/>
          <w:sz w:val="16"/>
          <w:szCs w:val="16"/>
        </w:rPr>
      </w:pPr>
    </w:p>
    <w:p w14:paraId="4897BFBB" w14:textId="77777777" w:rsidR="008E1CA7" w:rsidRPr="008E1CA7" w:rsidRDefault="008E1CA7" w:rsidP="008E1CA7">
      <w:pPr>
        <w:jc w:val="both"/>
        <w:rPr>
          <w:rFonts w:ascii="Arial" w:hAnsi="Arial" w:cs="Arial"/>
          <w:sz w:val="20"/>
          <w:szCs w:val="20"/>
        </w:rPr>
      </w:pPr>
      <w:r w:rsidRPr="008E1CA7">
        <w:rPr>
          <w:rFonts w:ascii="Arial" w:hAnsi="Arial" w:cs="Arial"/>
          <w:sz w:val="20"/>
          <w:szCs w:val="20"/>
        </w:rPr>
        <w:t>Ce montant sera réparti entre les copropriétaires en fonction de leurs tantièmes généraux.</w:t>
      </w:r>
    </w:p>
    <w:tbl>
      <w:tblPr>
        <w:tblW w:w="0" w:type="auto"/>
        <w:tblBorders>
          <w:insideV w:val="single" w:sz="4" w:space="0" w:color="000000"/>
        </w:tblBorders>
        <w:shd w:val="clear" w:color="auto" w:fill="A9EFFD"/>
        <w:tblLook w:val="04A0" w:firstRow="1" w:lastRow="0" w:firstColumn="1" w:lastColumn="0" w:noHBand="0" w:noVBand="1"/>
      </w:tblPr>
      <w:tblGrid>
        <w:gridCol w:w="4157"/>
        <w:gridCol w:w="4915"/>
      </w:tblGrid>
      <w:tr w:rsidR="008E1CA7" w:rsidRPr="008E1CA7" w14:paraId="3D440442" w14:textId="77777777" w:rsidTr="009A2516">
        <w:tc>
          <w:tcPr>
            <w:tcW w:w="4219" w:type="dxa"/>
            <w:shd w:val="clear" w:color="auto" w:fill="A9EFFD"/>
          </w:tcPr>
          <w:p w14:paraId="00A34433" w14:textId="77777777" w:rsidR="008E1CA7" w:rsidRPr="008E1CA7" w:rsidRDefault="008E1CA7" w:rsidP="009A2516">
            <w:pPr>
              <w:rPr>
                <w:rFonts w:ascii="Arial" w:hAnsi="Arial" w:cs="Arial"/>
                <w:sz w:val="20"/>
                <w:szCs w:val="20"/>
              </w:rPr>
            </w:pPr>
            <w:r w:rsidRPr="008E1CA7">
              <w:rPr>
                <w:rFonts w:ascii="Arial" w:hAnsi="Arial" w:cs="Arial"/>
                <w:sz w:val="20"/>
                <w:szCs w:val="20"/>
                <w:u w:val="single"/>
              </w:rPr>
              <w:t>Ont voté contre :</w:t>
            </w:r>
            <w:r w:rsidRPr="008E1CA7">
              <w:rPr>
                <w:rFonts w:ascii="Arial" w:hAnsi="Arial" w:cs="Arial"/>
                <w:sz w:val="20"/>
                <w:szCs w:val="20"/>
              </w:rPr>
              <w:t xml:space="preserve"> … tantièmes</w:t>
            </w:r>
          </w:p>
        </w:tc>
        <w:tc>
          <w:tcPr>
            <w:tcW w:w="4993" w:type="dxa"/>
            <w:shd w:val="clear" w:color="auto" w:fill="A9EFFD"/>
          </w:tcPr>
          <w:p w14:paraId="127C1526" w14:textId="77777777" w:rsidR="008E1CA7" w:rsidRPr="008E1CA7" w:rsidRDefault="008E1CA7" w:rsidP="009A2516">
            <w:pPr>
              <w:rPr>
                <w:rFonts w:ascii="Arial" w:hAnsi="Arial" w:cs="Arial"/>
                <w:sz w:val="20"/>
                <w:szCs w:val="20"/>
                <w:u w:val="single"/>
              </w:rPr>
            </w:pPr>
            <w:r w:rsidRPr="008E1CA7">
              <w:rPr>
                <w:rFonts w:ascii="Arial" w:hAnsi="Arial" w:cs="Arial"/>
                <w:sz w:val="20"/>
                <w:szCs w:val="20"/>
                <w:u w:val="single"/>
              </w:rPr>
              <w:t>Ont voté pour :</w:t>
            </w:r>
          </w:p>
        </w:tc>
      </w:tr>
      <w:tr w:rsidR="008E1CA7" w:rsidRPr="008E1CA7" w14:paraId="00EF13D6" w14:textId="77777777" w:rsidTr="009A2516">
        <w:tc>
          <w:tcPr>
            <w:tcW w:w="4219" w:type="dxa"/>
            <w:shd w:val="clear" w:color="auto" w:fill="A9EFFD"/>
          </w:tcPr>
          <w:p w14:paraId="756438D2" w14:textId="77777777" w:rsidR="008E1CA7" w:rsidRPr="008E1CA7" w:rsidRDefault="008E1CA7" w:rsidP="009A2516">
            <w:pPr>
              <w:rPr>
                <w:rFonts w:ascii="Arial" w:hAnsi="Arial" w:cs="Arial"/>
                <w:sz w:val="20"/>
                <w:szCs w:val="20"/>
              </w:rPr>
            </w:pPr>
            <w:r w:rsidRPr="008E1CA7">
              <w:rPr>
                <w:rFonts w:ascii="Arial" w:hAnsi="Arial" w:cs="Arial"/>
                <w:sz w:val="20"/>
                <w:szCs w:val="20"/>
              </w:rPr>
              <w:t xml:space="preserve">M. … </w:t>
            </w:r>
            <w:proofErr w:type="gramStart"/>
            <w:r w:rsidRPr="008E1CA7">
              <w:rPr>
                <w:rFonts w:ascii="Arial" w:hAnsi="Arial" w:cs="Arial"/>
                <w:sz w:val="20"/>
                <w:szCs w:val="20"/>
              </w:rPr>
              <w:t>=  …</w:t>
            </w:r>
            <w:proofErr w:type="gramEnd"/>
            <w:r w:rsidRPr="008E1CA7">
              <w:rPr>
                <w:rFonts w:ascii="Arial" w:hAnsi="Arial" w:cs="Arial"/>
                <w:sz w:val="20"/>
                <w:szCs w:val="20"/>
              </w:rPr>
              <w:t xml:space="preserve"> tantièmes</w:t>
            </w:r>
          </w:p>
        </w:tc>
        <w:tc>
          <w:tcPr>
            <w:tcW w:w="4993" w:type="dxa"/>
            <w:shd w:val="clear" w:color="auto" w:fill="A9EFFD"/>
          </w:tcPr>
          <w:p w14:paraId="20E4B48C" w14:textId="77777777" w:rsidR="008E1CA7" w:rsidRPr="008E1CA7" w:rsidRDefault="008E1CA7" w:rsidP="009A2516">
            <w:pPr>
              <w:rPr>
                <w:rFonts w:ascii="Arial" w:hAnsi="Arial" w:cs="Arial"/>
                <w:sz w:val="20"/>
                <w:szCs w:val="20"/>
              </w:rPr>
            </w:pPr>
            <w:r w:rsidRPr="008E1CA7">
              <w:rPr>
                <w:rFonts w:ascii="Arial" w:hAnsi="Arial" w:cs="Arial"/>
                <w:sz w:val="20"/>
                <w:szCs w:val="20"/>
              </w:rPr>
              <w:t>... tantièmes</w:t>
            </w:r>
          </w:p>
        </w:tc>
      </w:tr>
      <w:tr w:rsidR="008E1CA7" w:rsidRPr="008E1CA7" w14:paraId="080416F4" w14:textId="77777777" w:rsidTr="009A2516">
        <w:tc>
          <w:tcPr>
            <w:tcW w:w="4219" w:type="dxa"/>
            <w:shd w:val="clear" w:color="auto" w:fill="A9EFFD"/>
          </w:tcPr>
          <w:p w14:paraId="6ED8BC53" w14:textId="77777777" w:rsidR="008E1CA7" w:rsidRPr="008E1CA7" w:rsidRDefault="008E1CA7" w:rsidP="009A2516">
            <w:pPr>
              <w:rPr>
                <w:rFonts w:ascii="Arial" w:hAnsi="Arial" w:cs="Arial"/>
                <w:sz w:val="20"/>
                <w:szCs w:val="20"/>
              </w:rPr>
            </w:pPr>
            <w:r w:rsidRPr="008E1CA7">
              <w:rPr>
                <w:rFonts w:ascii="Arial" w:hAnsi="Arial" w:cs="Arial"/>
                <w:sz w:val="20"/>
                <w:szCs w:val="20"/>
              </w:rPr>
              <w:t xml:space="preserve">M. … </w:t>
            </w:r>
            <w:proofErr w:type="gramStart"/>
            <w:r w:rsidRPr="008E1CA7">
              <w:rPr>
                <w:rFonts w:ascii="Arial" w:hAnsi="Arial" w:cs="Arial"/>
                <w:sz w:val="20"/>
                <w:szCs w:val="20"/>
              </w:rPr>
              <w:t>=  …</w:t>
            </w:r>
            <w:proofErr w:type="gramEnd"/>
            <w:r w:rsidRPr="008E1CA7">
              <w:rPr>
                <w:rFonts w:ascii="Arial" w:hAnsi="Arial" w:cs="Arial"/>
                <w:sz w:val="20"/>
                <w:szCs w:val="20"/>
              </w:rPr>
              <w:t xml:space="preserve"> tantièmes</w:t>
            </w:r>
          </w:p>
        </w:tc>
        <w:tc>
          <w:tcPr>
            <w:tcW w:w="4993" w:type="dxa"/>
            <w:shd w:val="clear" w:color="auto" w:fill="A9EFFD"/>
          </w:tcPr>
          <w:p w14:paraId="0BBDB637" w14:textId="77777777" w:rsidR="008E1CA7" w:rsidRPr="008E1CA7" w:rsidRDefault="008E1CA7" w:rsidP="009A2516">
            <w:pPr>
              <w:rPr>
                <w:rFonts w:ascii="Arial" w:hAnsi="Arial" w:cs="Arial"/>
                <w:sz w:val="20"/>
                <w:szCs w:val="20"/>
              </w:rPr>
            </w:pPr>
          </w:p>
        </w:tc>
      </w:tr>
      <w:tr w:rsidR="008E1CA7" w:rsidRPr="008E1CA7" w14:paraId="2D93452A" w14:textId="77777777" w:rsidTr="009A2516">
        <w:tc>
          <w:tcPr>
            <w:tcW w:w="4219" w:type="dxa"/>
            <w:shd w:val="clear" w:color="auto" w:fill="A9EFFD"/>
          </w:tcPr>
          <w:p w14:paraId="1FF1403F" w14:textId="77777777" w:rsidR="008E1CA7" w:rsidRPr="008E1CA7" w:rsidRDefault="008E1CA7" w:rsidP="009A2516">
            <w:pPr>
              <w:rPr>
                <w:rFonts w:ascii="Arial" w:hAnsi="Arial" w:cs="Arial"/>
                <w:sz w:val="20"/>
                <w:szCs w:val="20"/>
              </w:rPr>
            </w:pPr>
            <w:r w:rsidRPr="008E1CA7">
              <w:rPr>
                <w:rFonts w:ascii="Arial" w:hAnsi="Arial" w:cs="Arial"/>
                <w:sz w:val="20"/>
                <w:szCs w:val="20"/>
              </w:rPr>
              <w:t xml:space="preserve">M. … </w:t>
            </w:r>
            <w:proofErr w:type="gramStart"/>
            <w:r w:rsidRPr="008E1CA7">
              <w:rPr>
                <w:rFonts w:ascii="Arial" w:hAnsi="Arial" w:cs="Arial"/>
                <w:sz w:val="20"/>
                <w:szCs w:val="20"/>
              </w:rPr>
              <w:t>=  …</w:t>
            </w:r>
            <w:proofErr w:type="gramEnd"/>
            <w:r w:rsidRPr="008E1CA7">
              <w:rPr>
                <w:rFonts w:ascii="Arial" w:hAnsi="Arial" w:cs="Arial"/>
                <w:sz w:val="20"/>
                <w:szCs w:val="20"/>
              </w:rPr>
              <w:t xml:space="preserve"> tantièmes</w:t>
            </w:r>
          </w:p>
        </w:tc>
        <w:tc>
          <w:tcPr>
            <w:tcW w:w="4993" w:type="dxa"/>
            <w:shd w:val="clear" w:color="auto" w:fill="A9EFFD"/>
          </w:tcPr>
          <w:p w14:paraId="053A6DCF" w14:textId="77777777" w:rsidR="008E1CA7" w:rsidRPr="008E1CA7" w:rsidRDefault="008E1CA7" w:rsidP="009A2516">
            <w:pPr>
              <w:rPr>
                <w:rFonts w:ascii="Arial" w:hAnsi="Arial" w:cs="Arial"/>
                <w:sz w:val="20"/>
                <w:szCs w:val="20"/>
              </w:rPr>
            </w:pPr>
          </w:p>
        </w:tc>
      </w:tr>
    </w:tbl>
    <w:p w14:paraId="05D1211F" w14:textId="77777777" w:rsidR="008E1CA7" w:rsidRPr="0062371A" w:rsidRDefault="008E1CA7" w:rsidP="008E1CA7">
      <w:pPr>
        <w:suppressAutoHyphens/>
        <w:contextualSpacing/>
        <w:jc w:val="both"/>
        <w:rPr>
          <w:rFonts w:ascii="Arial" w:hAnsi="Arial" w:cs="Arial"/>
          <w:bCs/>
          <w:sz w:val="16"/>
          <w:szCs w:val="16"/>
        </w:rPr>
      </w:pPr>
    </w:p>
    <w:p w14:paraId="42F052F7" w14:textId="77777777" w:rsidR="008E1CA7" w:rsidRPr="008E1CA7" w:rsidRDefault="008E1CA7" w:rsidP="008E1CA7">
      <w:pPr>
        <w:spacing w:after="0" w:line="240" w:lineRule="auto"/>
        <w:rPr>
          <w:rFonts w:ascii="Arial" w:eastAsia="Times" w:hAnsi="Arial" w:cs="Arial"/>
          <w:b/>
          <w:sz w:val="20"/>
          <w:szCs w:val="20"/>
        </w:rPr>
      </w:pPr>
      <w:r w:rsidRPr="008E1CA7">
        <w:rPr>
          <w:rFonts w:ascii="Arial" w:eastAsia="Times" w:hAnsi="Arial" w:cs="Arial"/>
          <w:b/>
          <w:sz w:val="20"/>
          <w:szCs w:val="20"/>
        </w:rPr>
        <w:t>En conséquence, cette résolution est :</w:t>
      </w:r>
    </w:p>
    <w:p w14:paraId="18ABAA1F" w14:textId="77777777" w:rsidR="008E1CA7" w:rsidRPr="008E1CA7" w:rsidRDefault="008E1CA7" w:rsidP="008E1CA7">
      <w:pPr>
        <w:spacing w:after="0" w:line="240" w:lineRule="auto"/>
        <w:rPr>
          <w:rFonts w:ascii="Arial" w:eastAsia="Times" w:hAnsi="Arial" w:cs="Arial"/>
          <w:sz w:val="20"/>
          <w:szCs w:val="20"/>
        </w:rPr>
      </w:pPr>
      <w:r w:rsidRPr="008E1CA7">
        <w:rPr>
          <w:rFonts w:ascii="Arial" w:eastAsia="Times" w:hAnsi="Arial" w:cs="Arial"/>
          <w:sz w:val="20"/>
          <w:szCs w:val="20"/>
        </w:rPr>
        <w:t>- est adoptée dans les conditions de majorité de l'article 24</w:t>
      </w:r>
    </w:p>
    <w:p w14:paraId="0CAA1951" w14:textId="77777777" w:rsidR="008E1CA7" w:rsidRPr="008E1CA7" w:rsidRDefault="008E1CA7" w:rsidP="008E1CA7">
      <w:pPr>
        <w:spacing w:after="0" w:line="240" w:lineRule="auto"/>
        <w:rPr>
          <w:rFonts w:ascii="Arial" w:eastAsia="Times" w:hAnsi="Arial" w:cs="Arial"/>
          <w:sz w:val="20"/>
          <w:szCs w:val="20"/>
        </w:rPr>
      </w:pPr>
      <w:r w:rsidRPr="008E1CA7">
        <w:rPr>
          <w:rFonts w:ascii="Arial" w:eastAsia="Times" w:hAnsi="Arial" w:cs="Arial"/>
          <w:sz w:val="20"/>
          <w:szCs w:val="20"/>
        </w:rPr>
        <w:t>- n'a pas recueilli la majorité de l'article 24.</w:t>
      </w:r>
    </w:p>
    <w:p w14:paraId="21807597" w14:textId="77777777" w:rsidR="008E1CA7" w:rsidRPr="0062371A" w:rsidRDefault="008E1CA7" w:rsidP="008E1CA7">
      <w:pPr>
        <w:suppressAutoHyphens/>
        <w:contextualSpacing/>
        <w:jc w:val="both"/>
        <w:rPr>
          <w:rFonts w:ascii="Arial" w:hAnsi="Arial" w:cs="Arial"/>
          <w:bCs/>
          <w:sz w:val="16"/>
          <w:szCs w:val="16"/>
        </w:rPr>
      </w:pPr>
    </w:p>
    <w:p w14:paraId="582BF1BA" w14:textId="77777777" w:rsidR="008E1CA7" w:rsidRPr="008E1CA7" w:rsidRDefault="008E1CA7" w:rsidP="008E1CA7">
      <w:pPr>
        <w:jc w:val="center"/>
        <w:rPr>
          <w:rFonts w:ascii="Arial" w:hAnsi="Arial" w:cs="Arial"/>
          <w:sz w:val="20"/>
          <w:szCs w:val="20"/>
        </w:rPr>
      </w:pPr>
      <w:r w:rsidRPr="008E1CA7">
        <w:rPr>
          <w:rFonts w:ascii="Arial" w:hAnsi="Arial" w:cs="Arial"/>
          <w:sz w:val="20"/>
          <w:szCs w:val="20"/>
        </w:rPr>
        <w:t>***</w:t>
      </w:r>
    </w:p>
    <w:p w14:paraId="28E55E8A" w14:textId="77777777" w:rsidR="008E1CA7" w:rsidRPr="008E1CA7" w:rsidRDefault="008E1CA7" w:rsidP="008E1CA7">
      <w:pPr>
        <w:jc w:val="center"/>
        <w:rPr>
          <w:rFonts w:ascii="Arial" w:hAnsi="Arial" w:cs="Arial"/>
          <w:b/>
          <w:sz w:val="20"/>
          <w:szCs w:val="20"/>
        </w:rPr>
      </w:pPr>
      <w:r w:rsidRPr="008E1CA7">
        <w:rPr>
          <w:rFonts w:ascii="Arial" w:hAnsi="Arial" w:cs="Arial"/>
          <w:b/>
          <w:sz w:val="20"/>
          <w:szCs w:val="20"/>
        </w:rPr>
        <w:t>Textes de référence</w:t>
      </w:r>
    </w:p>
    <w:p w14:paraId="0268922D" w14:textId="212CDB17" w:rsidR="008E1CA7" w:rsidRPr="008E1CA7" w:rsidRDefault="008E1CA7" w:rsidP="008E1CA7">
      <w:pPr>
        <w:jc w:val="both"/>
        <w:rPr>
          <w:rFonts w:ascii="Arial" w:hAnsi="Arial" w:cs="Arial"/>
          <w:b/>
          <w:bCs/>
          <w:sz w:val="20"/>
          <w:szCs w:val="20"/>
        </w:rPr>
      </w:pPr>
      <w:r w:rsidRPr="008E1CA7">
        <w:rPr>
          <w:rFonts w:ascii="Arial" w:hAnsi="Arial" w:cs="Arial"/>
          <w:b/>
          <w:bCs/>
          <w:sz w:val="20"/>
          <w:szCs w:val="20"/>
        </w:rPr>
        <w:t>Art. 17-1 A de la loi du 10 juillet 1965</w:t>
      </w:r>
    </w:p>
    <w:p w14:paraId="00BC8B1D" w14:textId="77777777"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Les copropriétaires peuvent participer à l'assemblée générale par présence physique, par visioconférence ou par tout autre moyen de communication électronique permettant leur identification.</w:t>
      </w:r>
    </w:p>
    <w:p w14:paraId="5C3184F1" w14:textId="77777777"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Les copropriétaires peuvent, par ailleurs, voter par correspondance avant la tenue de l'assemblée générale, au moyen d'un formulaire. Les formulaires ne donnant aucun sens précis de vote ou exprimant une abstention sont considérés comme des votes défavorables. Sont également considérés comme défavorables les votes par correspondance portant sur des résolutions qui, à l'issue des débats en assemblée générale, ont évolué de manière substantielle.</w:t>
      </w:r>
    </w:p>
    <w:p w14:paraId="72C6053B" w14:textId="77777777"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Les conditions d'identification des copropriétaires usant de moyens de communication électronique pour participer à l'assemblée générale, les mentions du formulaire de vote par correspondance et ses modalités de remise au syndic sont définies par décret en Conseil d'Etat.</w:t>
      </w:r>
    </w:p>
    <w:p w14:paraId="31C3A6EA" w14:textId="77777777" w:rsidR="008E1CA7" w:rsidRPr="008E1CA7" w:rsidRDefault="008E1CA7" w:rsidP="008E1CA7">
      <w:pPr>
        <w:contextualSpacing/>
        <w:jc w:val="both"/>
        <w:rPr>
          <w:rFonts w:ascii="Arial" w:hAnsi="Arial" w:cs="Arial"/>
          <w:sz w:val="20"/>
          <w:szCs w:val="20"/>
        </w:rPr>
      </w:pPr>
    </w:p>
    <w:p w14:paraId="39E729DD" w14:textId="77777777" w:rsidR="008E1CA7" w:rsidRPr="008E1CA7" w:rsidRDefault="008E1CA7" w:rsidP="008E1CA7">
      <w:pPr>
        <w:contextualSpacing/>
        <w:jc w:val="both"/>
        <w:rPr>
          <w:rFonts w:ascii="Arial" w:hAnsi="Arial" w:cs="Arial"/>
          <w:sz w:val="20"/>
          <w:szCs w:val="20"/>
        </w:rPr>
      </w:pPr>
      <w:r w:rsidRPr="008E1CA7">
        <w:rPr>
          <w:rFonts w:ascii="Arial" w:hAnsi="Arial" w:cs="Arial"/>
          <w:b/>
          <w:bCs/>
          <w:sz w:val="20"/>
          <w:szCs w:val="20"/>
        </w:rPr>
        <w:t>Article 13-1 du décret du 17 mars 1967</w:t>
      </w:r>
      <w:r w:rsidRPr="008E1CA7">
        <w:rPr>
          <w:rFonts w:ascii="Arial" w:hAnsi="Arial" w:cs="Arial"/>
          <w:sz w:val="20"/>
          <w:szCs w:val="20"/>
        </w:rPr>
        <w:t xml:space="preserve"> </w:t>
      </w:r>
    </w:p>
    <w:p w14:paraId="743DC85E" w14:textId="77777777"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 xml:space="preserve">Pour l'application de l'article 17-1 A de la loi du 10 juillet 1965, </w:t>
      </w:r>
      <w:r w:rsidRPr="00697F7D">
        <w:rPr>
          <w:rFonts w:ascii="Arial" w:hAnsi="Arial" w:cs="Arial"/>
          <w:b/>
          <w:bCs/>
          <w:sz w:val="20"/>
          <w:szCs w:val="20"/>
        </w:rPr>
        <w:t>l'assemblée générale décide des moyens et supports techniques permettant aux copropriétaires de participer aux assemblées générales par visioconférence, par audioconférence ou par tout autre moyen de communication électronique ainsi que des garanties permettant de s'assurer de l'identit</w:t>
      </w:r>
      <w:bookmarkStart w:id="0" w:name="_GoBack"/>
      <w:bookmarkEnd w:id="0"/>
      <w:r w:rsidRPr="00697F7D">
        <w:rPr>
          <w:rFonts w:ascii="Arial" w:hAnsi="Arial" w:cs="Arial"/>
          <w:b/>
          <w:bCs/>
          <w:sz w:val="20"/>
          <w:szCs w:val="20"/>
        </w:rPr>
        <w:t>é de chaque participant</w:t>
      </w:r>
      <w:r w:rsidRPr="008E1CA7">
        <w:rPr>
          <w:rFonts w:ascii="Arial" w:hAnsi="Arial" w:cs="Arial"/>
          <w:sz w:val="20"/>
          <w:szCs w:val="20"/>
        </w:rPr>
        <w:t xml:space="preserve">. La décision est prise sur la base de devis élaborés à cet effet à l'initiative du syndic ou du conseil syndical. </w:t>
      </w:r>
      <w:r w:rsidRPr="00A80DF6">
        <w:rPr>
          <w:rFonts w:ascii="Arial" w:hAnsi="Arial" w:cs="Arial"/>
          <w:b/>
          <w:bCs/>
          <w:sz w:val="20"/>
          <w:szCs w:val="20"/>
        </w:rPr>
        <w:t>Le syndicat des copropriétaires en supporte les coûts</w:t>
      </w:r>
      <w:r w:rsidRPr="008E1CA7">
        <w:rPr>
          <w:rFonts w:ascii="Arial" w:hAnsi="Arial" w:cs="Arial"/>
          <w:sz w:val="20"/>
          <w:szCs w:val="20"/>
        </w:rPr>
        <w:t>.</w:t>
      </w:r>
    </w:p>
    <w:p w14:paraId="013CAA20" w14:textId="77777777"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Pour garantir la participation effective des copropriétaires, ces supports doivent, au moins, transmettre leur voix et permettre la retransmission continue et simultanée des délibérations.</w:t>
      </w:r>
    </w:p>
    <w:p w14:paraId="0F57375D" w14:textId="77777777" w:rsidR="008E1CA7" w:rsidRPr="008E1CA7" w:rsidRDefault="008E1CA7" w:rsidP="008E1CA7">
      <w:pPr>
        <w:contextualSpacing/>
        <w:jc w:val="both"/>
        <w:rPr>
          <w:rFonts w:ascii="Arial" w:hAnsi="Arial" w:cs="Arial"/>
          <w:b/>
          <w:bCs/>
          <w:sz w:val="20"/>
          <w:szCs w:val="20"/>
        </w:rPr>
      </w:pPr>
      <w:bookmarkStart w:id="1" w:name="LEGIARTI000006488400"/>
      <w:bookmarkStart w:id="2" w:name="LEGIARTI000038700245"/>
      <w:bookmarkEnd w:id="1"/>
      <w:bookmarkEnd w:id="2"/>
    </w:p>
    <w:p w14:paraId="238D0B23" w14:textId="77777777" w:rsidR="008E1CA7" w:rsidRPr="008E1CA7" w:rsidRDefault="008E1CA7" w:rsidP="008E1CA7">
      <w:pPr>
        <w:contextualSpacing/>
        <w:jc w:val="both"/>
        <w:rPr>
          <w:rFonts w:ascii="Arial" w:hAnsi="Arial" w:cs="Arial"/>
          <w:sz w:val="20"/>
          <w:szCs w:val="20"/>
        </w:rPr>
      </w:pPr>
      <w:r w:rsidRPr="008E1CA7">
        <w:rPr>
          <w:rFonts w:ascii="Arial" w:hAnsi="Arial" w:cs="Arial"/>
          <w:b/>
          <w:bCs/>
          <w:sz w:val="20"/>
          <w:szCs w:val="20"/>
        </w:rPr>
        <w:t>Article 13-2</w:t>
      </w:r>
    </w:p>
    <w:p w14:paraId="5C83F4E7" w14:textId="65B59CBB" w:rsidR="008E1CA7" w:rsidRPr="008E1CA7" w:rsidRDefault="008E1CA7" w:rsidP="008E1CA7">
      <w:pPr>
        <w:contextualSpacing/>
        <w:jc w:val="both"/>
        <w:rPr>
          <w:rFonts w:ascii="Arial" w:hAnsi="Arial" w:cs="Arial"/>
          <w:sz w:val="20"/>
          <w:szCs w:val="20"/>
        </w:rPr>
      </w:pPr>
      <w:r w:rsidRPr="008E1CA7">
        <w:rPr>
          <w:rFonts w:ascii="Arial" w:hAnsi="Arial" w:cs="Arial"/>
          <w:sz w:val="20"/>
          <w:szCs w:val="20"/>
        </w:rPr>
        <w:t>Le copropriétaire qui souhaite participer à l'assemblée générale par visioconférence, par audioconférence ou par tout autre moyen de communication électronique en informe par tout moyen le syndic trois jours francs au plus tard avant la réunion de l'assemblée générale.</w:t>
      </w:r>
    </w:p>
    <w:sectPr w:rsidR="008E1CA7" w:rsidRPr="008E1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129A"/>
    <w:multiLevelType w:val="multilevel"/>
    <w:tmpl w:val="AA5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57F06"/>
    <w:multiLevelType w:val="multilevel"/>
    <w:tmpl w:val="94F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A7"/>
    <w:rsid w:val="0033722C"/>
    <w:rsid w:val="003D5636"/>
    <w:rsid w:val="00530277"/>
    <w:rsid w:val="0062371A"/>
    <w:rsid w:val="00697F7D"/>
    <w:rsid w:val="008D13C3"/>
    <w:rsid w:val="008E1CA7"/>
    <w:rsid w:val="00A80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9C64"/>
  <w15:chartTrackingRefBased/>
  <w15:docId w15:val="{261620D3-3BC3-427E-81E7-A375B11E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CA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1CA7"/>
    <w:rPr>
      <w:color w:val="0563C1" w:themeColor="hyperlink"/>
      <w:u w:val="single"/>
    </w:rPr>
  </w:style>
  <w:style w:type="character" w:styleId="Mentionnonrsolue">
    <w:name w:val="Unresolved Mention"/>
    <w:basedOn w:val="Policepardfaut"/>
    <w:uiPriority w:val="99"/>
    <w:semiHidden/>
    <w:unhideWhenUsed/>
    <w:rsid w:val="008E1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06994">
      <w:bodyDiv w:val="1"/>
      <w:marLeft w:val="0"/>
      <w:marRight w:val="0"/>
      <w:marTop w:val="0"/>
      <w:marBottom w:val="0"/>
      <w:divBdr>
        <w:top w:val="none" w:sz="0" w:space="0" w:color="auto"/>
        <w:left w:val="none" w:sz="0" w:space="0" w:color="auto"/>
        <w:bottom w:val="none" w:sz="0" w:space="0" w:color="auto"/>
        <w:right w:val="none" w:sz="0" w:space="0" w:color="auto"/>
      </w:divBdr>
      <w:divsChild>
        <w:div w:id="2038894395">
          <w:marLeft w:val="0"/>
          <w:marRight w:val="0"/>
          <w:marTop w:val="525"/>
          <w:marBottom w:val="525"/>
          <w:divBdr>
            <w:top w:val="none" w:sz="0" w:space="0" w:color="auto"/>
            <w:left w:val="none" w:sz="0" w:space="0" w:color="auto"/>
            <w:bottom w:val="none" w:sz="0" w:space="0" w:color="auto"/>
            <w:right w:val="none" w:sz="0" w:space="0" w:color="auto"/>
          </w:divBdr>
          <w:divsChild>
            <w:div w:id="2071608254">
              <w:marLeft w:val="0"/>
              <w:marRight w:val="0"/>
              <w:marTop w:val="0"/>
              <w:marBottom w:val="150"/>
              <w:divBdr>
                <w:top w:val="none" w:sz="0" w:space="0" w:color="auto"/>
                <w:left w:val="none" w:sz="0" w:space="0" w:color="auto"/>
                <w:bottom w:val="none" w:sz="0" w:space="0" w:color="auto"/>
                <w:right w:val="none" w:sz="0" w:space="0" w:color="auto"/>
              </w:divBdr>
            </w:div>
          </w:divsChild>
        </w:div>
        <w:div w:id="34699729">
          <w:marLeft w:val="0"/>
          <w:marRight w:val="0"/>
          <w:marTop w:val="525"/>
          <w:marBottom w:val="525"/>
          <w:divBdr>
            <w:top w:val="none" w:sz="0" w:space="0" w:color="auto"/>
            <w:left w:val="none" w:sz="0" w:space="0" w:color="auto"/>
            <w:bottom w:val="none" w:sz="0" w:space="0" w:color="auto"/>
            <w:right w:val="none" w:sz="0" w:space="0" w:color="auto"/>
          </w:divBdr>
          <w:divsChild>
            <w:div w:id="1229538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Ysoline Régnault de la Mothe</dc:creator>
  <cp:keywords/>
  <dc:description/>
  <cp:lastModifiedBy>Ysoline Régnault de la Mothe</cp:lastModifiedBy>
  <cp:revision>5</cp:revision>
  <dcterms:created xsi:type="dcterms:W3CDTF">2019-09-23T10:41:00Z</dcterms:created>
  <dcterms:modified xsi:type="dcterms:W3CDTF">2019-10-17T08:45:00Z</dcterms:modified>
</cp:coreProperties>
</file>