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26" w:rsidRPr="001F7D0E" w:rsidRDefault="00486A26" w:rsidP="00486A26">
      <w:pPr>
        <w:spacing w:after="0" w:line="240" w:lineRule="auto"/>
        <w:ind w:left="-284"/>
        <w:jc w:val="center"/>
        <w:rPr>
          <w:rFonts w:ascii="Montserrat ExtraBold" w:hAnsi="Montserrat ExtraBold" w:cs="Segoe UI"/>
          <w:b/>
          <w:bCs/>
          <w:color w:val="404040" w:themeColor="text1" w:themeTint="BF"/>
          <w:sz w:val="32"/>
          <w:szCs w:val="32"/>
        </w:rPr>
      </w:pPr>
      <w:r w:rsidRPr="001F7D0E">
        <w:rPr>
          <w:rFonts w:ascii="Montserrat ExtraBold" w:hAnsi="Montserrat ExtraBold" w:cs="Segoe UI"/>
          <w:b/>
          <w:bCs/>
          <w:color w:val="404040" w:themeColor="text1" w:themeTint="BF"/>
          <w:sz w:val="32"/>
          <w:szCs w:val="32"/>
        </w:rPr>
        <w:t>CONTRAT ASCENSEUR</w:t>
      </w:r>
    </w:p>
    <w:p w:rsidR="00486A26" w:rsidRPr="001F7D0E" w:rsidRDefault="00486A26" w:rsidP="00486A26">
      <w:pPr>
        <w:spacing w:after="0" w:line="240" w:lineRule="auto"/>
        <w:ind w:left="-284"/>
        <w:jc w:val="center"/>
        <w:rPr>
          <w:rFonts w:ascii="Montserrat Light" w:hAnsi="Montserrat Light" w:cs="Segoe UI"/>
          <w:b/>
          <w:bCs/>
          <w:color w:val="404040" w:themeColor="text1" w:themeTint="BF"/>
          <w:sz w:val="32"/>
          <w:szCs w:val="32"/>
        </w:rPr>
      </w:pPr>
      <w:r w:rsidRPr="001F7D0E">
        <w:rPr>
          <w:rFonts w:ascii="Montserrat Light" w:hAnsi="Montserrat Light" w:cs="Segoe UI"/>
          <w:b/>
          <w:bCs/>
          <w:color w:val="404040" w:themeColor="text1" w:themeTint="BF"/>
          <w:sz w:val="32"/>
          <w:szCs w:val="32"/>
        </w:rPr>
        <w:t>UNIS Avantage</w:t>
      </w:r>
    </w:p>
    <w:p w:rsidR="00486A26" w:rsidRPr="001F7D0E" w:rsidRDefault="00486A26" w:rsidP="00486A26">
      <w:pPr>
        <w:spacing w:after="0" w:line="240" w:lineRule="auto"/>
        <w:ind w:left="-284"/>
        <w:jc w:val="center"/>
        <w:rPr>
          <w:rFonts w:ascii="Montserrat Light" w:hAnsi="Montserrat Light" w:cs="Segoe UI"/>
          <w:b/>
          <w:bCs/>
          <w:color w:val="404040" w:themeColor="text1" w:themeTint="BF"/>
          <w:sz w:val="14"/>
          <w:szCs w:val="14"/>
        </w:rPr>
      </w:pPr>
    </w:p>
    <w:p w:rsidR="00486A26" w:rsidRPr="001F7D0E" w:rsidRDefault="00486A26" w:rsidP="00486A26">
      <w:pPr>
        <w:spacing w:after="0" w:line="240" w:lineRule="auto"/>
        <w:ind w:left="-284"/>
        <w:jc w:val="center"/>
        <w:rPr>
          <w:rFonts w:ascii="Montserrat ExtraLight" w:hAnsi="Montserrat ExtraLight" w:cs="Segoe UI"/>
          <w:b/>
          <w:bCs/>
          <w:color w:val="404040" w:themeColor="text1" w:themeTint="BF"/>
          <w:sz w:val="20"/>
          <w:szCs w:val="20"/>
        </w:rPr>
      </w:pPr>
      <w:r w:rsidRPr="001F7D0E">
        <w:rPr>
          <w:rFonts w:ascii="Montserrat ExtraLight" w:hAnsi="Montserrat ExtraLight" w:cs="Segoe UI"/>
          <w:b/>
          <w:bCs/>
          <w:color w:val="404040" w:themeColor="text1" w:themeTint="BF"/>
          <w:sz w:val="20"/>
          <w:szCs w:val="20"/>
        </w:rPr>
        <w:t>Version du 15/10/2019</w:t>
      </w:r>
    </w:p>
    <w:p w:rsidR="00486A26" w:rsidRPr="001F7D0E" w:rsidRDefault="00486A26" w:rsidP="00F6229F">
      <w:pPr>
        <w:spacing w:after="0" w:line="276" w:lineRule="auto"/>
        <w:ind w:left="-284"/>
        <w:jc w:val="both"/>
        <w:rPr>
          <w:rFonts w:ascii="Montserrat Light" w:hAnsi="Montserrat Light" w:cs="Segoe UI"/>
          <w:color w:val="404040" w:themeColor="text1" w:themeTint="BF"/>
          <w:sz w:val="16"/>
          <w:szCs w:val="16"/>
        </w:rPr>
      </w:pPr>
    </w:p>
    <w:p w:rsidR="00862EA9" w:rsidRDefault="00862EA9" w:rsidP="00F820BB">
      <w:pPr>
        <w:spacing w:after="0" w:line="240" w:lineRule="auto"/>
        <w:ind w:left="-284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bookmarkStart w:id="0" w:name="_Hlk22105983"/>
      <w:r>
        <w:rPr>
          <w:rFonts w:ascii="Montserrat Light" w:hAnsi="Montserrat Light" w:cs="Segoe UI"/>
          <w:color w:val="404040" w:themeColor="text1" w:themeTint="BF"/>
          <w:sz w:val="18"/>
          <w:szCs w:val="18"/>
        </w:rPr>
        <w:t>Il existe 2 typologies de contrat de maintenance Ascenseur :</w:t>
      </w:r>
    </w:p>
    <w:p w:rsidR="001F7D0E" w:rsidRPr="001F7D0E" w:rsidRDefault="001F7D0E" w:rsidP="00F820BB">
      <w:pPr>
        <w:spacing w:after="0" w:line="240" w:lineRule="auto"/>
        <w:ind w:left="-284"/>
        <w:jc w:val="both"/>
        <w:rPr>
          <w:rFonts w:ascii="Montserrat Light" w:hAnsi="Montserrat Light" w:cs="Segoe UI"/>
          <w:color w:val="404040" w:themeColor="text1" w:themeTint="BF"/>
          <w:sz w:val="6"/>
          <w:szCs w:val="6"/>
        </w:rPr>
      </w:pPr>
    </w:p>
    <w:p w:rsidR="00862EA9" w:rsidRPr="00C61E98" w:rsidRDefault="00862EA9" w:rsidP="00C61E9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 w:rsidRPr="00862EA9">
        <w:rPr>
          <w:rFonts w:ascii="Montserrat Light" w:hAnsi="Montserrat Light" w:cs="Segoe UI"/>
          <w:color w:val="404040" w:themeColor="text1" w:themeTint="BF"/>
          <w:sz w:val="18"/>
          <w:szCs w:val="18"/>
        </w:rPr>
        <w:t>Le contrat minimal</w:t>
      </w:r>
      <w:r w:rsidR="001F7D0E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. Il est </w:t>
      </w:r>
      <w:r w:rsidRPr="00C61E98">
        <w:rPr>
          <w:rFonts w:ascii="Montserrat Light" w:hAnsi="Montserrat Light" w:cs="Segoe UI"/>
          <w:color w:val="404040" w:themeColor="text1" w:themeTint="BF"/>
          <w:sz w:val="18"/>
          <w:szCs w:val="18"/>
        </w:rPr>
        <w:t>défini</w:t>
      </w:r>
      <w:r w:rsidR="00C61E98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réglementairement</w:t>
      </w:r>
      <w:r w:rsidRPr="00C61E98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par l</w:t>
      </w:r>
      <w:r w:rsidR="00C61E98" w:rsidRPr="00C61E98">
        <w:rPr>
          <w:rFonts w:ascii="Montserrat Light" w:hAnsi="Montserrat Light" w:cs="Segoe UI"/>
          <w:color w:val="404040" w:themeColor="text1" w:themeTint="BF"/>
          <w:sz w:val="18"/>
          <w:szCs w:val="18"/>
        </w:rPr>
        <w:t>e décret</w:t>
      </w:r>
      <w:r w:rsidRPr="00C61E98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</w:t>
      </w:r>
      <w:r w:rsidR="00C61E98" w:rsidRPr="00C61E98">
        <w:rPr>
          <w:rFonts w:ascii="Montserrat Light" w:hAnsi="Montserrat Light" w:cs="Segoe UI"/>
          <w:color w:val="404040" w:themeColor="text1" w:themeTint="BF"/>
          <w:sz w:val="18"/>
          <w:szCs w:val="18"/>
        </w:rPr>
        <w:t>2004-964 du 9 septembre 2004</w:t>
      </w:r>
      <w:r w:rsidR="00C61E98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modifié et l’arrêté s’y rattachant.</w:t>
      </w:r>
      <w:r w:rsidRPr="00862EA9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Le propriétaire d’ascenseur a l’obligat</w:t>
      </w:r>
      <w:r w:rsidR="00C61E98">
        <w:rPr>
          <w:rFonts w:ascii="Montserrat Light" w:hAnsi="Montserrat Light" w:cs="Segoe UI"/>
          <w:color w:val="404040" w:themeColor="text1" w:themeTint="BF"/>
          <w:sz w:val="18"/>
          <w:szCs w:val="18"/>
        </w:rPr>
        <w:t>ion</w:t>
      </w:r>
      <w:r w:rsidRPr="00C61E98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de souscrire à minima un contrat minimal pour être conforme à la réglementation. Ce sont les clauses minimales réglementaires de tous les contrats,</w:t>
      </w:r>
    </w:p>
    <w:p w:rsidR="00BD6B89" w:rsidRPr="001F7D0E" w:rsidRDefault="00BD6B89" w:rsidP="00BD6B89">
      <w:pPr>
        <w:pStyle w:val="Paragraphedeliste"/>
        <w:numPr>
          <w:ilvl w:val="0"/>
          <w:numId w:val="0"/>
        </w:numPr>
        <w:spacing w:after="0" w:line="240" w:lineRule="auto"/>
        <w:ind w:left="436"/>
        <w:jc w:val="both"/>
        <w:rPr>
          <w:rFonts w:ascii="Montserrat Light" w:hAnsi="Montserrat Light" w:cs="Segoe UI"/>
          <w:color w:val="404040" w:themeColor="text1" w:themeTint="BF"/>
          <w:sz w:val="6"/>
          <w:szCs w:val="6"/>
        </w:rPr>
      </w:pPr>
    </w:p>
    <w:p w:rsidR="00F6229F" w:rsidRPr="00BD6B89" w:rsidRDefault="00862EA9" w:rsidP="00BD6B89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 w:rsidRPr="00BD6B89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Le contrat dit </w:t>
      </w:r>
      <w:bookmarkStart w:id="1" w:name="_GoBack"/>
      <w:r w:rsidRPr="00BD6B89">
        <w:rPr>
          <w:rFonts w:ascii="Montserrat Light" w:hAnsi="Montserrat Light" w:cs="Segoe UI"/>
          <w:color w:val="404040" w:themeColor="text1" w:themeTint="BF"/>
          <w:sz w:val="18"/>
          <w:szCs w:val="18"/>
        </w:rPr>
        <w:t>Etendu</w:t>
      </w:r>
      <w:bookmarkEnd w:id="1"/>
      <w:r w:rsidR="001F7D0E">
        <w:rPr>
          <w:rFonts w:ascii="Montserrat Light" w:hAnsi="Montserrat Light" w:cs="Segoe UI"/>
          <w:color w:val="404040" w:themeColor="text1" w:themeTint="BF"/>
          <w:sz w:val="18"/>
          <w:szCs w:val="18"/>
        </w:rPr>
        <w:t>. Il</w:t>
      </w:r>
      <w:r w:rsidRPr="00BD6B89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offre des avantages complémentaires et des extensions de services ou de garanties par rapport au contrat minimal.</w:t>
      </w:r>
      <w:bookmarkEnd w:id="0"/>
      <w:r w:rsidR="00C61E98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</w:t>
      </w:r>
      <w:r w:rsidR="00F6229F" w:rsidRPr="00BD6B89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Le contrat Etendu est un pur document contractuel signé entre les parties. </w:t>
      </w:r>
      <w:r w:rsidRPr="00BD6B89">
        <w:rPr>
          <w:rFonts w:ascii="Montserrat Light" w:hAnsi="Montserrat Light" w:cs="Segoe UI"/>
          <w:color w:val="404040" w:themeColor="text1" w:themeTint="BF"/>
          <w:sz w:val="18"/>
          <w:szCs w:val="18"/>
        </w:rPr>
        <w:t>Les clauses d’extension</w:t>
      </w:r>
      <w:r w:rsidR="00BD6B89" w:rsidRPr="00BD6B89">
        <w:rPr>
          <w:rFonts w:ascii="Montserrat Light" w:hAnsi="Montserrat Light" w:cs="Segoe UI"/>
          <w:color w:val="404040" w:themeColor="text1" w:themeTint="BF"/>
          <w:sz w:val="18"/>
          <w:szCs w:val="18"/>
        </w:rPr>
        <w:t>s de service et de garantie doivent être décrites et inscrites dans le contrat pour que celles-ci aient une valeur contractuelle une fois le document signé par les parties.</w:t>
      </w:r>
    </w:p>
    <w:p w:rsidR="00480346" w:rsidRPr="00486A26" w:rsidRDefault="00480346" w:rsidP="00F820BB">
      <w:pPr>
        <w:spacing w:after="0" w:line="240" w:lineRule="auto"/>
        <w:ind w:left="-284"/>
        <w:jc w:val="both"/>
        <w:rPr>
          <w:rFonts w:ascii="Montserrat Light" w:hAnsi="Montserrat Light" w:cs="Segoe UI"/>
          <w:color w:val="404040" w:themeColor="text1" w:themeTint="BF"/>
          <w:sz w:val="8"/>
          <w:szCs w:val="8"/>
        </w:rPr>
      </w:pPr>
    </w:p>
    <w:p w:rsidR="007A0136" w:rsidRPr="00486A26" w:rsidRDefault="00F6229F" w:rsidP="00F820BB">
      <w:pPr>
        <w:spacing w:after="0" w:line="240" w:lineRule="auto"/>
        <w:ind w:left="-284"/>
        <w:jc w:val="both"/>
        <w:rPr>
          <w:rFonts w:ascii="Montserrat Light" w:hAnsi="Montserrat Light" w:cs="Segoe UI"/>
          <w:b/>
          <w:bCs/>
          <w:color w:val="404040" w:themeColor="text1" w:themeTint="BF"/>
          <w:sz w:val="18"/>
          <w:szCs w:val="18"/>
        </w:rPr>
      </w:pPr>
      <w:r w:rsidRPr="00486A26">
        <w:rPr>
          <w:rFonts w:ascii="Montserrat Light" w:hAnsi="Montserrat Light" w:cs="Segoe UI"/>
          <w:b/>
          <w:bCs/>
          <w:color w:val="404040" w:themeColor="text1" w:themeTint="BF"/>
          <w:sz w:val="18"/>
          <w:szCs w:val="18"/>
        </w:rPr>
        <w:t>La possibilité d’établir des contrats étendus, avec ou sans option, complexifie le sujet des contrats de maintenance ascenseurs. D’un contrat à l’autre, les contenus sont souvent très différents, les clauses changent, les garanties varient …</w:t>
      </w:r>
      <w:r w:rsidR="001C055E" w:rsidRPr="00486A26">
        <w:rPr>
          <w:rFonts w:ascii="Montserrat Light" w:hAnsi="Montserrat Light" w:cs="Segoe UI"/>
          <w:b/>
          <w:bCs/>
          <w:color w:val="404040" w:themeColor="text1" w:themeTint="BF"/>
          <w:sz w:val="18"/>
          <w:szCs w:val="18"/>
        </w:rPr>
        <w:t xml:space="preserve"> </w:t>
      </w:r>
      <w:r w:rsidRPr="00486A26">
        <w:rPr>
          <w:rFonts w:ascii="Montserrat Light" w:hAnsi="Montserrat Light" w:cs="Segoe UI"/>
          <w:b/>
          <w:bCs/>
          <w:color w:val="404040" w:themeColor="text1" w:themeTint="BF"/>
          <w:sz w:val="18"/>
          <w:szCs w:val="18"/>
        </w:rPr>
        <w:t>Il devient alors difficile de s’y retrouver et d’identifier clairement les différences entre contrats et entre prestataires.</w:t>
      </w:r>
    </w:p>
    <w:p w:rsidR="00F6229F" w:rsidRPr="001F7D0E" w:rsidRDefault="00F6229F" w:rsidP="00F820BB">
      <w:pPr>
        <w:spacing w:after="0" w:line="240" w:lineRule="auto"/>
        <w:ind w:left="-284"/>
        <w:jc w:val="both"/>
        <w:rPr>
          <w:rFonts w:ascii="Montserrat Light" w:hAnsi="Montserrat Light" w:cs="Segoe UI"/>
          <w:color w:val="404040" w:themeColor="text1" w:themeTint="BF"/>
          <w:sz w:val="8"/>
          <w:szCs w:val="8"/>
        </w:rPr>
      </w:pPr>
    </w:p>
    <w:p w:rsidR="00F6229F" w:rsidRPr="00486A26" w:rsidRDefault="00F6229F" w:rsidP="00F820BB">
      <w:pPr>
        <w:spacing w:after="0" w:line="240" w:lineRule="auto"/>
        <w:ind w:left="-284"/>
        <w:jc w:val="both"/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  <w:u w:val="single"/>
        </w:rPr>
      </w:pPr>
      <w:r w:rsidRPr="00486A26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  <w:u w:val="single"/>
        </w:rPr>
        <w:t>Dans ce cadre l’UNIS, en partenariat avec le bureau d’études ACCEO Ascenseur, met à votre disposition</w:t>
      </w:r>
      <w:r w:rsidR="0049544C" w:rsidRPr="00486A26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  <w:u w:val="single"/>
        </w:rPr>
        <w:t xml:space="preserve"> depuis plusieurs années</w:t>
      </w:r>
      <w:r w:rsidRPr="00486A26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  <w:u w:val="single"/>
        </w:rPr>
        <w:t xml:space="preserve"> le Contrat Ascenseur UNIS Avantage.</w:t>
      </w:r>
    </w:p>
    <w:p w:rsidR="00F6229F" w:rsidRDefault="00A75CA7" w:rsidP="001F7D0E">
      <w:pPr>
        <w:spacing w:after="0" w:line="240" w:lineRule="auto"/>
        <w:ind w:left="-284"/>
        <w:jc w:val="both"/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</w:pPr>
      <w:r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>Le contrat Ascenseur UNIS Avantage</w:t>
      </w:r>
      <w:r w:rsidR="00F6229F"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est </w:t>
      </w:r>
      <w:r w:rsid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un contrat avant tout </w:t>
      </w:r>
      <w:r w:rsidR="00F6229F"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>compréhensible</w:t>
      </w:r>
      <w:r w:rsidR="0049544C"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et </w:t>
      </w:r>
      <w:r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>aisément applicable</w:t>
      </w:r>
      <w:r w:rsidR="0049544C"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>. Il</w:t>
      </w:r>
      <w:r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</w:t>
      </w:r>
      <w:r w:rsidR="00F6229F"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>participe à garantir la conformité et la sécurité des appareil</w:t>
      </w:r>
      <w:r w:rsidR="0049544C"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s, </w:t>
      </w:r>
      <w:r w:rsidR="00F6229F"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>limite les surcouts dus à des travaux hors contrat,</w:t>
      </w:r>
      <w:r w:rsidR="0049544C"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</w:t>
      </w:r>
      <w:r w:rsidR="00BE7593"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>protège</w:t>
      </w:r>
      <w:r w:rsidR="00F6229F"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les propriétaires </w:t>
      </w:r>
      <w:r w:rsidR="0049544C"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>et s</w:t>
      </w:r>
      <w:r w:rsidR="00F6229F"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>implifie la gestion.</w:t>
      </w:r>
      <w:r w:rsidR="00DF53C2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</w:t>
      </w:r>
      <w:r w:rsidR="001F7D0E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>Ce c</w:t>
      </w:r>
      <w:r w:rsidR="00DF53C2" w:rsidRPr="00DF53C2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>ontrat</w:t>
      </w:r>
      <w:r w:rsidR="001F7D0E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>,</w:t>
      </w:r>
      <w:r w:rsidR="00DF53C2" w:rsidRPr="00DF53C2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 xml:space="preserve"> uniforme sur l’ensemble de vos copropriétés</w:t>
      </w:r>
      <w:r w:rsidR="001F7D0E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>,</w:t>
      </w:r>
      <w:r w:rsidR="00DF53C2" w:rsidRPr="00DF53C2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 xml:space="preserve"> vous permettra de gagner beaucoup de temps de gestion.</w:t>
      </w:r>
    </w:p>
    <w:p w:rsidR="001F7D0E" w:rsidRPr="001F7D0E" w:rsidRDefault="001F7D0E" w:rsidP="001F7D0E">
      <w:pPr>
        <w:spacing w:after="0" w:line="240" w:lineRule="auto"/>
        <w:ind w:left="-284"/>
        <w:jc w:val="both"/>
        <w:rPr>
          <w:rFonts w:ascii="Montserrat Light" w:hAnsi="Montserrat Light" w:cs="Segoe UI"/>
          <w:color w:val="404040" w:themeColor="text1" w:themeTint="BF"/>
          <w:sz w:val="8"/>
          <w:szCs w:val="8"/>
        </w:rPr>
      </w:pPr>
    </w:p>
    <w:p w:rsidR="0049544C" w:rsidRPr="003334C8" w:rsidRDefault="0049544C" w:rsidP="00F820BB">
      <w:pPr>
        <w:spacing w:after="0" w:line="240" w:lineRule="auto"/>
        <w:ind w:left="-284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  <w:u w:val="single"/>
        </w:rPr>
      </w:pPr>
      <w:r w:rsidRPr="003334C8">
        <w:rPr>
          <w:rFonts w:ascii="Montserrat Light" w:hAnsi="Montserrat Light" w:cs="Segoe UI"/>
          <w:color w:val="404040" w:themeColor="text1" w:themeTint="BF"/>
          <w:sz w:val="18"/>
          <w:szCs w:val="18"/>
          <w:u w:val="single"/>
        </w:rPr>
        <w:t>Comme dans ses versions précédentes le contrat Ascenseur UNIS Avantage est strict et juste et facilite les relations entre les parties.</w:t>
      </w:r>
    </w:p>
    <w:p w:rsidR="008A34DC" w:rsidRPr="001C055E" w:rsidRDefault="008A34DC" w:rsidP="00BB756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 w:rsidRPr="001C055E">
        <w:rPr>
          <w:rFonts w:ascii="Montserrat Light" w:hAnsi="Montserrat Light" w:cs="Segoe UI"/>
          <w:color w:val="404040" w:themeColor="text1" w:themeTint="BF"/>
          <w:sz w:val="18"/>
          <w:szCs w:val="18"/>
        </w:rPr>
        <w:t>Le bilan initial est clairement défini et permet une répartition claire des responsabilités entre prestataire entrant et sortant,</w:t>
      </w:r>
    </w:p>
    <w:p w:rsidR="008A34DC" w:rsidRPr="001C055E" w:rsidRDefault="0049544C" w:rsidP="00BB756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 w:rsidRPr="001C055E">
        <w:rPr>
          <w:rFonts w:ascii="Montserrat Light" w:hAnsi="Montserrat Light" w:cs="Segoe UI"/>
          <w:color w:val="404040" w:themeColor="text1" w:themeTint="BF"/>
          <w:sz w:val="18"/>
          <w:szCs w:val="18"/>
        </w:rPr>
        <w:t>La vétusté</w:t>
      </w:r>
      <w:r w:rsidR="00E41ABB" w:rsidRPr="001C055E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est </w:t>
      </w:r>
      <w:r w:rsidR="008A34DC" w:rsidRPr="001C055E">
        <w:rPr>
          <w:rFonts w:ascii="Montserrat Light" w:hAnsi="Montserrat Light" w:cs="Segoe UI"/>
          <w:color w:val="404040" w:themeColor="text1" w:themeTint="BF"/>
          <w:sz w:val="18"/>
          <w:szCs w:val="18"/>
        </w:rPr>
        <w:t>r</w:t>
      </w:r>
      <w:r w:rsidRPr="001C055E">
        <w:rPr>
          <w:rFonts w:ascii="Montserrat Light" w:hAnsi="Montserrat Light" w:cs="Segoe UI"/>
          <w:color w:val="404040" w:themeColor="text1" w:themeTint="BF"/>
          <w:sz w:val="18"/>
          <w:szCs w:val="18"/>
        </w:rPr>
        <w:t>emontée à 20 ans sur pièces électroniques et électromécaniques.</w:t>
      </w:r>
    </w:p>
    <w:p w:rsidR="008A34DC" w:rsidRPr="001C055E" w:rsidRDefault="008A34DC" w:rsidP="00BB756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 w:rsidRPr="001C055E">
        <w:rPr>
          <w:rFonts w:ascii="Montserrat Light" w:hAnsi="Montserrat Light" w:cs="Segoe UI"/>
          <w:color w:val="404040" w:themeColor="text1" w:themeTint="BF"/>
          <w:sz w:val="18"/>
          <w:szCs w:val="18"/>
        </w:rPr>
        <w:t>Les pièces prises en charge sont plus nombreuses</w:t>
      </w:r>
      <w:r w:rsidR="00D27F22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et clairement identifiées</w:t>
      </w:r>
      <w:r w:rsidRPr="001C055E">
        <w:rPr>
          <w:rFonts w:ascii="Montserrat Light" w:hAnsi="Montserrat Light" w:cs="Segoe UI"/>
          <w:color w:val="404040" w:themeColor="text1" w:themeTint="BF"/>
          <w:sz w:val="18"/>
          <w:szCs w:val="18"/>
        </w:rPr>
        <w:t>,</w:t>
      </w:r>
    </w:p>
    <w:p w:rsidR="0049544C" w:rsidRPr="001C055E" w:rsidRDefault="008A34DC" w:rsidP="00BB756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 w:rsidRPr="001C055E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La présence sans surfacturation du prestataire lors des contrôles techniques est </w:t>
      </w:r>
      <w:r w:rsid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>imposé</w:t>
      </w:r>
      <w:r w:rsidRPr="001C055E">
        <w:rPr>
          <w:rFonts w:ascii="Montserrat Light" w:hAnsi="Montserrat Light" w:cs="Segoe UI"/>
          <w:color w:val="404040" w:themeColor="text1" w:themeTint="BF"/>
          <w:sz w:val="18"/>
          <w:szCs w:val="18"/>
        </w:rPr>
        <w:t>e,</w:t>
      </w:r>
    </w:p>
    <w:p w:rsidR="008A34DC" w:rsidRDefault="008A34DC" w:rsidP="00BB756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 w:rsidRPr="001C055E">
        <w:rPr>
          <w:rFonts w:ascii="Montserrat Light" w:hAnsi="Montserrat Light" w:cs="Segoe UI"/>
          <w:color w:val="404040" w:themeColor="text1" w:themeTint="BF"/>
          <w:sz w:val="18"/>
          <w:szCs w:val="18"/>
        </w:rPr>
        <w:t>L</w:t>
      </w:r>
      <w:r w:rsidR="0049544C" w:rsidRPr="001C055E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a levée des réserves </w:t>
      </w:r>
      <w:r w:rsidRPr="001C055E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est </w:t>
      </w:r>
      <w:r w:rsidR="0049544C" w:rsidRPr="001C055E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due au titre du contrat, </w:t>
      </w:r>
    </w:p>
    <w:p w:rsidR="00480346" w:rsidRDefault="00480346" w:rsidP="00BB756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>
        <w:rPr>
          <w:rFonts w:ascii="Montserrat Light" w:hAnsi="Montserrat Light" w:cs="Segoe UI"/>
          <w:color w:val="404040" w:themeColor="text1" w:themeTint="BF"/>
          <w:sz w:val="18"/>
          <w:szCs w:val="18"/>
        </w:rPr>
        <w:t>Les clauses de pénalités sont facilement applicables en cas de besoin,</w:t>
      </w:r>
    </w:p>
    <w:p w:rsidR="00480346" w:rsidRDefault="00480346" w:rsidP="00BB756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>
        <w:rPr>
          <w:rFonts w:ascii="Montserrat Light" w:hAnsi="Montserrat Light" w:cs="Segoe UI"/>
          <w:color w:val="404040" w:themeColor="text1" w:themeTint="BF"/>
          <w:sz w:val="18"/>
          <w:szCs w:val="18"/>
        </w:rPr>
        <w:t>La révision des prix annuelle est cadrée et plafonnée par une formule unique,</w:t>
      </w:r>
    </w:p>
    <w:p w:rsidR="00480346" w:rsidRDefault="00480346" w:rsidP="00BB756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>
        <w:rPr>
          <w:rFonts w:ascii="Montserrat Light" w:hAnsi="Montserrat Light" w:cs="Segoe UI"/>
          <w:color w:val="404040" w:themeColor="text1" w:themeTint="BF"/>
          <w:sz w:val="18"/>
          <w:szCs w:val="18"/>
        </w:rPr>
        <w:t>Les clauses de résiliation sont clairement définies,</w:t>
      </w:r>
    </w:p>
    <w:p w:rsidR="00480346" w:rsidRPr="00480346" w:rsidRDefault="00480346" w:rsidP="00BB756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>
        <w:rPr>
          <w:rFonts w:ascii="Montserrat Light" w:hAnsi="Montserrat Light" w:cs="Segoe UI"/>
          <w:color w:val="404040" w:themeColor="text1" w:themeTint="BF"/>
          <w:sz w:val="18"/>
          <w:szCs w:val="18"/>
        </w:rPr>
        <w:t>L’ensemble des informations relatives à la gestion du contrat sont résumées en page de garde (durée, date de départ, délai de préavis, pénalités, minimal/étendu, délais d’intervention et de remise en service, etc…)</w:t>
      </w:r>
    </w:p>
    <w:p w:rsidR="003334C8" w:rsidRDefault="003334C8" w:rsidP="00BB7564">
      <w:pPr>
        <w:spacing w:after="0" w:line="240" w:lineRule="auto"/>
        <w:ind w:left="-284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</w:p>
    <w:p w:rsidR="008A34DC" w:rsidRPr="00ED33A2" w:rsidRDefault="003334C8" w:rsidP="00F820BB">
      <w:pPr>
        <w:spacing w:after="0" w:line="240" w:lineRule="auto"/>
        <w:ind w:left="-284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 w:rsidRPr="003334C8">
        <w:rPr>
          <w:rFonts w:ascii="Montserrat Light" w:hAnsi="Montserrat Light" w:cs="Segoe UI"/>
          <w:b/>
          <w:bCs/>
          <w:color w:val="404040" w:themeColor="text1" w:themeTint="BF"/>
          <w:sz w:val="18"/>
          <w:szCs w:val="18"/>
          <w:u w:val="single"/>
        </w:rPr>
        <w:t xml:space="preserve">Dans la nouvelle version de votre contrat les mêmes principes sont conservés et </w:t>
      </w:r>
      <w:r w:rsidR="00BE7593" w:rsidRPr="003334C8">
        <w:rPr>
          <w:rFonts w:ascii="Montserrat Light" w:hAnsi="Montserrat Light" w:cs="Segoe UI"/>
          <w:b/>
          <w:bCs/>
          <w:color w:val="404040" w:themeColor="text1" w:themeTint="BF"/>
          <w:sz w:val="18"/>
          <w:szCs w:val="18"/>
          <w:u w:val="single"/>
        </w:rPr>
        <w:t>d</w:t>
      </w:r>
      <w:r w:rsidR="008A34DC" w:rsidRPr="003334C8">
        <w:rPr>
          <w:rFonts w:ascii="Montserrat Light" w:hAnsi="Montserrat Light" w:cs="Segoe UI"/>
          <w:b/>
          <w:bCs/>
          <w:color w:val="404040" w:themeColor="text1" w:themeTint="BF"/>
          <w:sz w:val="18"/>
          <w:szCs w:val="18"/>
          <w:u w:val="single"/>
        </w:rPr>
        <w:t xml:space="preserve">es clauses et points </w:t>
      </w:r>
      <w:r w:rsidR="00B21826" w:rsidRPr="003334C8">
        <w:rPr>
          <w:rFonts w:ascii="Montserrat Light" w:hAnsi="Montserrat Light" w:cs="Segoe UI"/>
          <w:b/>
          <w:bCs/>
          <w:color w:val="404040" w:themeColor="text1" w:themeTint="BF"/>
          <w:sz w:val="18"/>
          <w:szCs w:val="18"/>
          <w:u w:val="single"/>
        </w:rPr>
        <w:t>complémentaires</w:t>
      </w:r>
      <w:r w:rsidR="008A34DC" w:rsidRPr="003334C8">
        <w:rPr>
          <w:rFonts w:ascii="Montserrat Light" w:hAnsi="Montserrat Light" w:cs="Segoe UI"/>
          <w:b/>
          <w:bCs/>
          <w:color w:val="404040" w:themeColor="text1" w:themeTint="BF"/>
          <w:sz w:val="18"/>
          <w:szCs w:val="18"/>
          <w:u w:val="single"/>
        </w:rPr>
        <w:t xml:space="preserve"> </w:t>
      </w:r>
      <w:r w:rsidRPr="003334C8">
        <w:rPr>
          <w:rFonts w:ascii="Montserrat Light" w:hAnsi="Montserrat Light" w:cs="Segoe UI"/>
          <w:b/>
          <w:bCs/>
          <w:color w:val="404040" w:themeColor="text1" w:themeTint="BF"/>
          <w:sz w:val="18"/>
          <w:szCs w:val="18"/>
          <w:u w:val="single"/>
        </w:rPr>
        <w:t xml:space="preserve">sont ajoutés pour </w:t>
      </w:r>
      <w:r>
        <w:rPr>
          <w:rFonts w:ascii="Montserrat Light" w:hAnsi="Montserrat Light" w:cs="Segoe UI"/>
          <w:b/>
          <w:bCs/>
          <w:color w:val="404040" w:themeColor="text1" w:themeTint="BF"/>
          <w:sz w:val="18"/>
          <w:szCs w:val="18"/>
          <w:u w:val="single"/>
        </w:rPr>
        <w:t>continuer à</w:t>
      </w:r>
      <w:r w:rsidRPr="003334C8">
        <w:rPr>
          <w:rFonts w:ascii="Montserrat Light" w:hAnsi="Montserrat Light" w:cs="Segoe UI"/>
          <w:b/>
          <w:bCs/>
          <w:color w:val="404040" w:themeColor="text1" w:themeTint="BF"/>
          <w:sz w:val="18"/>
          <w:szCs w:val="18"/>
          <w:u w:val="single"/>
        </w:rPr>
        <w:t xml:space="preserve"> le renforcer</w:t>
      </w:r>
      <w:r>
        <w:rPr>
          <w:rFonts w:ascii="Montserrat Light" w:hAnsi="Montserrat Light" w:cs="Segoe UI"/>
          <w:b/>
          <w:bCs/>
          <w:color w:val="404040" w:themeColor="text1" w:themeTint="BF"/>
          <w:sz w:val="18"/>
          <w:szCs w:val="18"/>
          <w:u w:val="single"/>
        </w:rPr>
        <w:t xml:space="preserve"> et l’adapter aux évolutions</w:t>
      </w:r>
      <w:r w:rsidR="00ED33A2"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> :</w:t>
      </w:r>
      <w:r w:rsidR="008A34DC" w:rsidRPr="00ED33A2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</w:t>
      </w:r>
    </w:p>
    <w:p w:rsidR="00D17956" w:rsidRPr="003334C8" w:rsidRDefault="00BE7593" w:rsidP="00F820B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>D</w:t>
      </w:r>
      <w:r w:rsidR="00B21826"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>es pièces incluses dans le contrat</w:t>
      </w:r>
      <w:r w:rsidR="00ED33A2"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</w:t>
      </w:r>
      <w:r w:rsidR="00B21826"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>: Câbles et courroies de traction sans limite de temps</w:t>
      </w:r>
      <w:r w:rsidR="00DF53C2">
        <w:rPr>
          <w:rFonts w:ascii="Montserrat Light" w:hAnsi="Montserrat Light" w:cs="Segoe UI"/>
          <w:color w:val="404040" w:themeColor="text1" w:themeTint="BF"/>
          <w:sz w:val="18"/>
          <w:szCs w:val="18"/>
        </w:rPr>
        <w:t>, kit GSM existant</w:t>
      </w:r>
      <w:r w:rsidR="00B21826"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, </w:t>
      </w:r>
    </w:p>
    <w:p w:rsidR="00ED33A2" w:rsidRPr="003334C8" w:rsidRDefault="00ED33A2" w:rsidP="00F820B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La gestion des </w:t>
      </w:r>
      <w:r w:rsidR="00480346">
        <w:rPr>
          <w:rFonts w:ascii="Montserrat Light" w:hAnsi="Montserrat Light" w:cs="Segoe UI"/>
          <w:color w:val="404040" w:themeColor="text1" w:themeTint="BF"/>
          <w:sz w:val="18"/>
          <w:szCs w:val="18"/>
        </w:rPr>
        <w:t>téléalarmes GSM</w:t>
      </w:r>
      <w:r w:rsidR="00DF53C2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et des cartes SIM</w:t>
      </w:r>
      <w:r w:rsidR="00480346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dans le cadre du contrat</w:t>
      </w:r>
      <w:r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>,</w:t>
      </w:r>
    </w:p>
    <w:p w:rsidR="00D17956" w:rsidRPr="003334C8" w:rsidRDefault="00BE7593" w:rsidP="00F820B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La </w:t>
      </w:r>
      <w:r w:rsidR="00DF53C2">
        <w:rPr>
          <w:rFonts w:ascii="Montserrat Light" w:hAnsi="Montserrat Light" w:cs="Segoe UI"/>
          <w:color w:val="404040" w:themeColor="text1" w:themeTint="BF"/>
          <w:sz w:val="18"/>
          <w:szCs w:val="18"/>
        </w:rPr>
        <w:t>p</w:t>
      </w:r>
      <w:r w:rsidR="00D17956"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résence sans surfacturation </w:t>
      </w:r>
      <w:r w:rsidR="00ED33A2"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>d</w:t>
      </w:r>
      <w:r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>u</w:t>
      </w:r>
      <w:r w:rsidR="00D17956"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 xml:space="preserve"> prestataire 1 fois pendant la durée du contrat pour accompagner les diagnostiqueurs Amiante (DTA ou RAAT)</w:t>
      </w:r>
      <w:r w:rsidR="00ED33A2"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>,</w:t>
      </w:r>
    </w:p>
    <w:p w:rsidR="00ED33A2" w:rsidRPr="003334C8" w:rsidRDefault="00ED33A2" w:rsidP="00F820B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>La réalisation des niveaux d’huile lors des visites sur des appareils hydrauliques,</w:t>
      </w:r>
    </w:p>
    <w:p w:rsidR="00ED33A2" w:rsidRPr="003334C8" w:rsidRDefault="00ED33A2" w:rsidP="00F820B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  <w:r w:rsidRPr="003334C8">
        <w:rPr>
          <w:rFonts w:ascii="Montserrat Light" w:hAnsi="Montserrat Light" w:cs="Segoe UI"/>
          <w:color w:val="404040" w:themeColor="text1" w:themeTint="BF"/>
          <w:sz w:val="18"/>
          <w:szCs w:val="18"/>
        </w:rPr>
        <w:t>…</w:t>
      </w:r>
    </w:p>
    <w:p w:rsidR="003334C8" w:rsidRDefault="003334C8" w:rsidP="00F820BB">
      <w:pPr>
        <w:spacing w:after="0" w:line="240" w:lineRule="auto"/>
        <w:ind w:left="-284"/>
        <w:jc w:val="both"/>
        <w:rPr>
          <w:rFonts w:ascii="Montserrat Light" w:hAnsi="Montserrat Light" w:cs="Segoe UI"/>
          <w:color w:val="404040" w:themeColor="text1" w:themeTint="BF"/>
          <w:sz w:val="18"/>
          <w:szCs w:val="18"/>
        </w:rPr>
      </w:pPr>
    </w:p>
    <w:p w:rsidR="006C6092" w:rsidRDefault="00ED33A2" w:rsidP="006C6092">
      <w:pPr>
        <w:spacing w:after="0" w:line="240" w:lineRule="auto"/>
        <w:ind w:left="-284"/>
        <w:jc w:val="both"/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</w:pPr>
      <w:r w:rsidRPr="006C6092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lastRenderedPageBreak/>
        <w:t>L’objectif est d’assurer un contrat ascenseur</w:t>
      </w:r>
      <w:r w:rsidR="003334C8" w:rsidRPr="006C6092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 xml:space="preserve"> facile,</w:t>
      </w:r>
      <w:r w:rsidRPr="006C6092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 xml:space="preserve"> juste</w:t>
      </w:r>
      <w:r w:rsidR="006C6092" w:rsidRPr="006C6092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 xml:space="preserve"> et</w:t>
      </w:r>
      <w:r w:rsidRPr="006C6092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 xml:space="preserve"> équitable</w:t>
      </w:r>
      <w:r w:rsidR="006C6092" w:rsidRPr="006C6092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 xml:space="preserve">. </w:t>
      </w:r>
    </w:p>
    <w:p w:rsidR="00ED33A2" w:rsidRPr="006C6092" w:rsidRDefault="006C6092" w:rsidP="006C6092">
      <w:pPr>
        <w:spacing w:after="0" w:line="240" w:lineRule="auto"/>
        <w:ind w:left="-284"/>
        <w:jc w:val="both"/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</w:pPr>
      <w:r w:rsidRPr="006C6092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>Un contrat garantissant</w:t>
      </w:r>
      <w:r w:rsidR="00ED33A2" w:rsidRPr="006C6092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 xml:space="preserve"> </w:t>
      </w:r>
      <w:r w:rsidRPr="006C6092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>des gains de temps, la sérénité des gestionnaires</w:t>
      </w:r>
      <w:r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 xml:space="preserve"> et</w:t>
      </w:r>
      <w:r w:rsidRPr="006C6092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 xml:space="preserve"> </w:t>
      </w:r>
      <w:r w:rsidR="00ED33A2" w:rsidRPr="006C6092">
        <w:rPr>
          <w:rFonts w:ascii="Montserrat ExtraBold" w:hAnsi="Montserrat ExtraBold" w:cs="Segoe UI"/>
          <w:b/>
          <w:bCs/>
          <w:color w:val="404040" w:themeColor="text1" w:themeTint="BF"/>
          <w:sz w:val="18"/>
          <w:szCs w:val="18"/>
        </w:rPr>
        <w:t>la sécurité et le confort des usagers.</w:t>
      </w:r>
    </w:p>
    <w:p w:rsidR="00BC1304" w:rsidRDefault="00BC1304" w:rsidP="00BC1304">
      <w:pPr>
        <w:spacing w:after="60" w:line="276" w:lineRule="auto"/>
        <w:rPr>
          <w:rFonts w:ascii="Montserrat Light" w:hAnsi="Montserrat Light" w:cs="Segoe UI"/>
          <w:b/>
          <w:bCs/>
          <w:color w:val="404040" w:themeColor="text1" w:themeTint="BF"/>
          <w:sz w:val="18"/>
          <w:szCs w:val="18"/>
        </w:rPr>
      </w:pPr>
    </w:p>
    <w:p w:rsidR="00F820BB" w:rsidRPr="006C6092" w:rsidRDefault="00F820BB" w:rsidP="00BC1304">
      <w:pPr>
        <w:spacing w:after="60" w:line="276" w:lineRule="auto"/>
        <w:ind w:hanging="284"/>
        <w:rPr>
          <w:rFonts w:ascii="Montserrat Light" w:hAnsi="Montserrat Light" w:cs="Segoe UI"/>
          <w:b/>
          <w:bCs/>
          <w:color w:val="404040" w:themeColor="text1" w:themeTint="BF"/>
          <w:sz w:val="14"/>
          <w:szCs w:val="14"/>
          <w:u w:val="single"/>
        </w:rPr>
      </w:pPr>
      <w:r w:rsidRPr="006C6092">
        <w:rPr>
          <w:rFonts w:ascii="Montserrat ExtraBold" w:hAnsi="Montserrat ExtraBold" w:cs="Segoe UI"/>
          <w:b/>
          <w:bCs/>
          <w:color w:val="404040" w:themeColor="text1" w:themeTint="BF"/>
          <w:sz w:val="20"/>
          <w:szCs w:val="20"/>
          <w:u w:val="single"/>
        </w:rPr>
        <w:t>Pour toutes vos questions ou demandes particulières</w:t>
      </w:r>
    </w:p>
    <w:p w:rsidR="00F820BB" w:rsidRPr="00BC1304" w:rsidRDefault="00F820BB" w:rsidP="00BC1304">
      <w:pPr>
        <w:spacing w:after="0" w:line="240" w:lineRule="auto"/>
        <w:ind w:left="-284"/>
        <w:rPr>
          <w:rFonts w:ascii="Montserrat Light" w:hAnsi="Montserrat Light" w:cs="Segoe UI"/>
          <w:b/>
          <w:bCs/>
          <w:color w:val="404040" w:themeColor="text1" w:themeTint="BF"/>
          <w:sz w:val="20"/>
          <w:szCs w:val="20"/>
        </w:rPr>
      </w:pPr>
      <w:r w:rsidRPr="00BC1304">
        <w:rPr>
          <w:rFonts w:ascii="Montserrat ExtraBold" w:hAnsi="Montserrat ExtraBold" w:cs="Segoe UI"/>
          <w:b/>
          <w:bCs/>
          <w:color w:val="404040" w:themeColor="text1" w:themeTint="BF"/>
          <w:sz w:val="8"/>
          <w:szCs w:val="8"/>
        </w:rPr>
        <w:t xml:space="preserve"> </w:t>
      </w:r>
      <w:r w:rsidRPr="00BC1304">
        <w:rPr>
          <w:rFonts w:ascii="Montserrat Light" w:hAnsi="Montserrat Light" w:cs="Segoe UI"/>
          <w:b/>
          <w:bCs/>
          <w:color w:val="404040" w:themeColor="text1" w:themeTint="BF"/>
          <w:sz w:val="20"/>
          <w:szCs w:val="20"/>
        </w:rPr>
        <w:t xml:space="preserve">Contact mail : </w:t>
      </w:r>
      <w:hyperlink r:id="rId8" w:history="1">
        <w:r w:rsidRPr="00BC1304">
          <w:rPr>
            <w:color w:val="404040" w:themeColor="text1" w:themeTint="BF"/>
            <w:sz w:val="20"/>
            <w:szCs w:val="20"/>
          </w:rPr>
          <w:t>contact@acceo.eu</w:t>
        </w:r>
      </w:hyperlink>
    </w:p>
    <w:p w:rsidR="00F820BB" w:rsidRPr="00BC1304" w:rsidRDefault="00F820BB" w:rsidP="00BC1304">
      <w:pPr>
        <w:spacing w:after="0" w:line="240" w:lineRule="auto"/>
        <w:ind w:left="-284"/>
        <w:rPr>
          <w:rFonts w:ascii="Montserrat Light" w:hAnsi="Montserrat Light" w:cs="Segoe UI"/>
          <w:b/>
          <w:bCs/>
          <w:color w:val="404040" w:themeColor="text1" w:themeTint="BF"/>
          <w:sz w:val="20"/>
          <w:szCs w:val="20"/>
        </w:rPr>
      </w:pPr>
      <w:r w:rsidRPr="00BC1304">
        <w:rPr>
          <w:rFonts w:ascii="Montserrat Light" w:hAnsi="Montserrat Light" w:cs="Segoe UI"/>
          <w:b/>
          <w:bCs/>
          <w:color w:val="404040" w:themeColor="text1" w:themeTint="BF"/>
          <w:sz w:val="20"/>
          <w:szCs w:val="20"/>
        </w:rPr>
        <w:t xml:space="preserve">Contacts régionaux : </w:t>
      </w:r>
      <w:r w:rsidRPr="00BC1304">
        <w:rPr>
          <w:color w:val="404040" w:themeColor="text1" w:themeTint="BF"/>
          <w:sz w:val="20"/>
          <w:szCs w:val="20"/>
        </w:rPr>
        <w:t>www.acceo.eu/fr/contact</w:t>
      </w:r>
    </w:p>
    <w:p w:rsidR="00F820BB" w:rsidRPr="00F820BB" w:rsidRDefault="00F820BB" w:rsidP="00ED33A2">
      <w:pPr>
        <w:spacing w:after="0" w:line="276" w:lineRule="auto"/>
        <w:ind w:left="-284"/>
        <w:jc w:val="both"/>
        <w:rPr>
          <w:rFonts w:ascii="Montserrat Light" w:hAnsi="Montserrat Light" w:cs="Segoe UI"/>
          <w:b/>
          <w:bCs/>
          <w:color w:val="404040" w:themeColor="text1" w:themeTint="BF"/>
          <w:sz w:val="12"/>
          <w:szCs w:val="12"/>
        </w:rPr>
      </w:pPr>
    </w:p>
    <w:p w:rsidR="00D17956" w:rsidRPr="00456FF1" w:rsidRDefault="00D17956" w:rsidP="00D17956">
      <w:pPr>
        <w:pStyle w:val="Paragraphedeliste"/>
        <w:numPr>
          <w:ilvl w:val="0"/>
          <w:numId w:val="0"/>
        </w:numPr>
        <w:ind w:left="720"/>
      </w:pPr>
    </w:p>
    <w:sectPr w:rsidR="00D17956" w:rsidRPr="00456FF1" w:rsidSect="00675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12F" w:rsidRDefault="001E412F" w:rsidP="00675A42">
      <w:pPr>
        <w:spacing w:after="0" w:line="240" w:lineRule="auto"/>
      </w:pPr>
      <w:r>
        <w:separator/>
      </w:r>
    </w:p>
  </w:endnote>
  <w:endnote w:type="continuationSeparator" w:id="0">
    <w:p w:rsidR="001E412F" w:rsidRDefault="001E412F" w:rsidP="006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tserrat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ExtraLight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4C8" w:rsidRDefault="003334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4DC" w:rsidRPr="00675A42" w:rsidRDefault="008A34DC" w:rsidP="00456FF1">
    <w:pPr>
      <w:pStyle w:val="Pieddepage"/>
      <w:jc w:val="center"/>
      <w:rPr>
        <w:color w:val="404040" w:themeColor="text1" w:themeTint="B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4C8" w:rsidRDefault="003334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12F" w:rsidRDefault="001E412F" w:rsidP="00675A42">
      <w:pPr>
        <w:spacing w:after="0" w:line="240" w:lineRule="auto"/>
      </w:pPr>
      <w:r>
        <w:separator/>
      </w:r>
    </w:p>
  </w:footnote>
  <w:footnote w:type="continuationSeparator" w:id="0">
    <w:p w:rsidR="001E412F" w:rsidRDefault="001E412F" w:rsidP="0067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4C8" w:rsidRDefault="003334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4C8" w:rsidRDefault="003334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4C8" w:rsidRDefault="003334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7C2803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AA7268"/>
    <w:multiLevelType w:val="hybridMultilevel"/>
    <w:tmpl w:val="8382AADC"/>
    <w:lvl w:ilvl="0" w:tplc="10B0817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5354E"/>
        <w:sz w:val="18"/>
      </w:rPr>
    </w:lvl>
    <w:lvl w:ilvl="1" w:tplc="1EDE6AF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BB6"/>
    <w:multiLevelType w:val="hybridMultilevel"/>
    <w:tmpl w:val="50089D9E"/>
    <w:lvl w:ilvl="0" w:tplc="10B0817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5354E"/>
        <w:sz w:val="18"/>
      </w:rPr>
    </w:lvl>
    <w:lvl w:ilvl="1" w:tplc="EC2844C0">
      <w:start w:val="1"/>
      <w:numFmt w:val="bullet"/>
      <w:lvlText w:val=""/>
      <w:lvlJc w:val="left"/>
      <w:pPr>
        <w:ind w:left="1440" w:hanging="360"/>
      </w:pPr>
      <w:rPr>
        <w:rFonts w:ascii="Wingdings 2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223"/>
    <w:multiLevelType w:val="hybridMultilevel"/>
    <w:tmpl w:val="0BD07520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4581B7A"/>
    <w:multiLevelType w:val="hybridMultilevel"/>
    <w:tmpl w:val="A752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389"/>
    <w:multiLevelType w:val="hybridMultilevel"/>
    <w:tmpl w:val="5B88F4BE"/>
    <w:lvl w:ilvl="0" w:tplc="180C000F">
      <w:start w:val="1"/>
      <w:numFmt w:val="decimal"/>
      <w:lvlText w:val="%1."/>
      <w:lvlJc w:val="left"/>
      <w:pPr>
        <w:ind w:left="436" w:hanging="360"/>
      </w:pPr>
    </w:lvl>
    <w:lvl w:ilvl="1" w:tplc="180C0019" w:tentative="1">
      <w:start w:val="1"/>
      <w:numFmt w:val="lowerLetter"/>
      <w:lvlText w:val="%2."/>
      <w:lvlJc w:val="left"/>
      <w:pPr>
        <w:ind w:left="1156" w:hanging="360"/>
      </w:pPr>
    </w:lvl>
    <w:lvl w:ilvl="2" w:tplc="180C001B" w:tentative="1">
      <w:start w:val="1"/>
      <w:numFmt w:val="lowerRoman"/>
      <w:lvlText w:val="%3."/>
      <w:lvlJc w:val="right"/>
      <w:pPr>
        <w:ind w:left="1876" w:hanging="180"/>
      </w:pPr>
    </w:lvl>
    <w:lvl w:ilvl="3" w:tplc="180C000F" w:tentative="1">
      <w:start w:val="1"/>
      <w:numFmt w:val="decimal"/>
      <w:lvlText w:val="%4."/>
      <w:lvlJc w:val="left"/>
      <w:pPr>
        <w:ind w:left="2596" w:hanging="360"/>
      </w:pPr>
    </w:lvl>
    <w:lvl w:ilvl="4" w:tplc="180C0019" w:tentative="1">
      <w:start w:val="1"/>
      <w:numFmt w:val="lowerLetter"/>
      <w:lvlText w:val="%5."/>
      <w:lvlJc w:val="left"/>
      <w:pPr>
        <w:ind w:left="3316" w:hanging="360"/>
      </w:pPr>
    </w:lvl>
    <w:lvl w:ilvl="5" w:tplc="180C001B" w:tentative="1">
      <w:start w:val="1"/>
      <w:numFmt w:val="lowerRoman"/>
      <w:lvlText w:val="%6."/>
      <w:lvlJc w:val="right"/>
      <w:pPr>
        <w:ind w:left="4036" w:hanging="180"/>
      </w:pPr>
    </w:lvl>
    <w:lvl w:ilvl="6" w:tplc="180C000F" w:tentative="1">
      <w:start w:val="1"/>
      <w:numFmt w:val="decimal"/>
      <w:lvlText w:val="%7."/>
      <w:lvlJc w:val="left"/>
      <w:pPr>
        <w:ind w:left="4756" w:hanging="360"/>
      </w:pPr>
    </w:lvl>
    <w:lvl w:ilvl="7" w:tplc="180C0019" w:tentative="1">
      <w:start w:val="1"/>
      <w:numFmt w:val="lowerLetter"/>
      <w:lvlText w:val="%8."/>
      <w:lvlJc w:val="left"/>
      <w:pPr>
        <w:ind w:left="5476" w:hanging="360"/>
      </w:pPr>
    </w:lvl>
    <w:lvl w:ilvl="8" w:tplc="18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10446B3"/>
    <w:multiLevelType w:val="hybridMultilevel"/>
    <w:tmpl w:val="191A64D2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C7D35BB"/>
    <w:multiLevelType w:val="multilevel"/>
    <w:tmpl w:val="779ABA06"/>
    <w:lvl w:ilvl="0">
      <w:start w:val="1"/>
      <w:numFmt w:val="bullet"/>
      <w:pStyle w:val="Paragraphedeliste"/>
      <w:lvlText w:val=""/>
      <w:lvlJc w:val="left"/>
      <w:pPr>
        <w:ind w:left="720" w:hanging="360"/>
      </w:pPr>
      <w:rPr>
        <w:rFonts w:ascii="Webdings" w:hAnsi="Webdings" w:hint="default"/>
        <w:color w:val="05354E"/>
        <w:sz w:val="18"/>
      </w:rPr>
    </w:lvl>
    <w:lvl w:ilvl="1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entury Gothic" w:hAnsi="Century Gothic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entury Gothic" w:hAnsi="Century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34717"/>
    <w:multiLevelType w:val="hybridMultilevel"/>
    <w:tmpl w:val="DB6A34DC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D6B571C"/>
    <w:multiLevelType w:val="multilevel"/>
    <w:tmpl w:val="D06668A2"/>
    <w:lvl w:ilvl="0">
      <w:start w:val="1"/>
      <w:numFmt w:val="upperRoman"/>
      <w:pStyle w:val="Titre1"/>
      <w:lvlText w:val="%1"/>
      <w:lvlJc w:val="left"/>
      <w:pPr>
        <w:ind w:left="454" w:hanging="454"/>
      </w:pPr>
      <w:rPr>
        <w:rFonts w:ascii="Segoe UI" w:hAnsi="Segoe UI" w:hint="default"/>
        <w:b/>
        <w:i w:val="0"/>
        <w:color w:val="05354E"/>
        <w:sz w:val="48"/>
      </w:rPr>
    </w:lvl>
    <w:lvl w:ilvl="1">
      <w:start w:val="1"/>
      <w:numFmt w:val="decimal"/>
      <w:pStyle w:val="Titre2"/>
      <w:lvlText w:val="%2."/>
      <w:lvlJc w:val="left"/>
      <w:pPr>
        <w:ind w:left="454" w:hanging="454"/>
      </w:pPr>
      <w:rPr>
        <w:rFonts w:ascii="Segoe UI" w:hAnsi="Segoe UI" w:hint="default"/>
        <w:b/>
        <w:i w:val="0"/>
        <w:color w:val="05354E"/>
        <w:sz w:val="36"/>
      </w:rPr>
    </w:lvl>
    <w:lvl w:ilvl="2">
      <w:start w:val="1"/>
      <w:numFmt w:val="decimal"/>
      <w:pStyle w:val="Titre3"/>
      <w:lvlText w:val="%2.%3."/>
      <w:lvlJc w:val="left"/>
      <w:pPr>
        <w:ind w:left="510" w:hanging="510"/>
      </w:pPr>
      <w:rPr>
        <w:rFonts w:ascii="Segoe UI" w:hAnsi="Segoe UI" w:hint="default"/>
        <w:b/>
        <w:i w:val="0"/>
        <w:color w:val="262626" w:themeColor="text1" w:themeTint="D9"/>
        <w:sz w:val="28"/>
      </w:rPr>
    </w:lvl>
    <w:lvl w:ilvl="3">
      <w:start w:val="1"/>
      <w:numFmt w:val="lowerLetter"/>
      <w:pStyle w:val="Titre4"/>
      <w:lvlText w:val="%4."/>
      <w:lvlJc w:val="left"/>
      <w:pPr>
        <w:ind w:left="510" w:hanging="510"/>
      </w:pPr>
      <w:rPr>
        <w:rFonts w:ascii="Segoe UI" w:hAnsi="Segoe UI" w:hint="default"/>
        <w:b/>
        <w:i w:val="0"/>
        <w:color w:val="262626" w:themeColor="text1" w:themeTint="D9"/>
        <w:sz w:val="24"/>
        <w:u w:val="none"/>
      </w:rPr>
    </w:lvl>
    <w:lvl w:ilvl="4">
      <w:start w:val="1"/>
      <w:numFmt w:val="bullet"/>
      <w:pStyle w:val="Titre5"/>
      <w:lvlText w:val=""/>
      <w:lvlJc w:val="left"/>
      <w:pPr>
        <w:ind w:left="510" w:hanging="510"/>
      </w:pPr>
      <w:rPr>
        <w:rFonts w:ascii="Wingdings 3" w:hAnsi="Wingdings 3" w:hint="default"/>
        <w:color w:val="262626" w:themeColor="text1" w:themeTint="D9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357BFF"/>
    <w:multiLevelType w:val="hybridMultilevel"/>
    <w:tmpl w:val="89144BFC"/>
    <w:lvl w:ilvl="0" w:tplc="10B0817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5354E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DE6AF8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306A4"/>
    <w:multiLevelType w:val="hybridMultilevel"/>
    <w:tmpl w:val="BF908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F"/>
    <w:rsid w:val="00035282"/>
    <w:rsid w:val="000718E2"/>
    <w:rsid w:val="001C055E"/>
    <w:rsid w:val="001E412F"/>
    <w:rsid w:val="001F7D0E"/>
    <w:rsid w:val="00241769"/>
    <w:rsid w:val="002C17E4"/>
    <w:rsid w:val="003334C8"/>
    <w:rsid w:val="00343709"/>
    <w:rsid w:val="00432F0B"/>
    <w:rsid w:val="00456FF1"/>
    <w:rsid w:val="00480346"/>
    <w:rsid w:val="00486A26"/>
    <w:rsid w:val="0049544C"/>
    <w:rsid w:val="005A08AA"/>
    <w:rsid w:val="00675A42"/>
    <w:rsid w:val="006B5838"/>
    <w:rsid w:val="006C6092"/>
    <w:rsid w:val="007A0136"/>
    <w:rsid w:val="00862EA9"/>
    <w:rsid w:val="0089548C"/>
    <w:rsid w:val="008A34DC"/>
    <w:rsid w:val="00A75CA7"/>
    <w:rsid w:val="00AF1C9B"/>
    <w:rsid w:val="00B21826"/>
    <w:rsid w:val="00BB7564"/>
    <w:rsid w:val="00BC1304"/>
    <w:rsid w:val="00BD6B89"/>
    <w:rsid w:val="00BE7593"/>
    <w:rsid w:val="00BF3E33"/>
    <w:rsid w:val="00BF456B"/>
    <w:rsid w:val="00C4552A"/>
    <w:rsid w:val="00C56A30"/>
    <w:rsid w:val="00C61E98"/>
    <w:rsid w:val="00D17956"/>
    <w:rsid w:val="00D27F22"/>
    <w:rsid w:val="00DF53C2"/>
    <w:rsid w:val="00E41ABB"/>
    <w:rsid w:val="00EC034C"/>
    <w:rsid w:val="00ED33A2"/>
    <w:rsid w:val="00F6229F"/>
    <w:rsid w:val="00F820BB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9431"/>
  <w15:chartTrackingRefBased/>
  <w15:docId w15:val="{CB87F1A6-9EAC-483F-A5CE-39E2466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color w:val="262626" w:themeColor="text1" w:themeTint="D9"/>
        <w:sz w:val="18"/>
        <w:szCs w:val="18"/>
        <w:lang w:val="fr-F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229F"/>
    <w:pPr>
      <w:spacing w:after="160" w:line="259" w:lineRule="auto"/>
    </w:pPr>
    <w:rPr>
      <w:rFonts w:asciiTheme="minorHAnsi" w:hAnsiTheme="minorHAnsi"/>
      <w:color w:val="auto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56A30"/>
    <w:pPr>
      <w:keepNext/>
      <w:keepLines/>
      <w:numPr>
        <w:numId w:val="5"/>
      </w:numPr>
      <w:spacing w:before="360" w:after="240" w:line="192" w:lineRule="auto"/>
      <w:outlineLvl w:val="0"/>
    </w:pPr>
    <w:rPr>
      <w:rFonts w:eastAsiaTheme="majorEastAsia" w:cs="Segoe UI"/>
      <w:b/>
      <w:color w:val="05354E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6A30"/>
    <w:pPr>
      <w:keepNext/>
      <w:keepLines/>
      <w:numPr>
        <w:ilvl w:val="1"/>
        <w:numId w:val="5"/>
      </w:numPr>
      <w:spacing w:before="240" w:after="240" w:line="192" w:lineRule="auto"/>
      <w:outlineLvl w:val="1"/>
    </w:pPr>
    <w:rPr>
      <w:rFonts w:eastAsiaTheme="majorEastAsia" w:cs="Segoe UI"/>
      <w:b/>
      <w:color w:val="05354E"/>
      <w:sz w:val="36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0718E2"/>
    <w:pPr>
      <w:keepNext/>
      <w:keepLines/>
      <w:numPr>
        <w:ilvl w:val="2"/>
        <w:numId w:val="5"/>
      </w:numPr>
      <w:spacing w:before="240" w:after="120" w:line="192" w:lineRule="auto"/>
      <w:outlineLvl w:val="2"/>
    </w:pPr>
    <w:rPr>
      <w:rFonts w:eastAsiaTheme="majorEastAsia" w:cs="Segoe UI"/>
      <w:b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718E2"/>
    <w:pPr>
      <w:keepNext/>
      <w:keepLines/>
      <w:numPr>
        <w:ilvl w:val="3"/>
        <w:numId w:val="5"/>
      </w:numPr>
      <w:spacing w:before="120" w:after="120"/>
      <w:outlineLvl w:val="3"/>
    </w:pPr>
    <w:rPr>
      <w:rFonts w:eastAsiaTheme="majorEastAsia" w:cs="Segoe UI"/>
      <w:b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56A30"/>
    <w:pPr>
      <w:numPr>
        <w:ilvl w:val="4"/>
        <w:numId w:val="5"/>
      </w:numPr>
      <w:spacing w:before="120"/>
      <w:outlineLvl w:val="4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6A30"/>
    <w:rPr>
      <w:rFonts w:eastAsiaTheme="majorEastAsia" w:cs="Segoe UI"/>
      <w:b/>
      <w:color w:val="05354E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6A30"/>
    <w:rPr>
      <w:rFonts w:eastAsiaTheme="majorEastAsia" w:cs="Segoe UI"/>
      <w:b/>
      <w:color w:val="05354E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718E2"/>
    <w:rPr>
      <w:rFonts w:eastAsiaTheme="majorEastAsia" w:cs="Segoe UI"/>
      <w:b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18E2"/>
    <w:rPr>
      <w:rFonts w:eastAsiaTheme="majorEastAsia" w:cs="Segoe U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C56A30"/>
    <w:rPr>
      <w:sz w:val="18"/>
      <w:u w:val="single"/>
    </w:rPr>
  </w:style>
  <w:style w:type="paragraph" w:styleId="Paragraphedeliste">
    <w:name w:val="List Paragraph"/>
    <w:basedOn w:val="Normal"/>
    <w:uiPriority w:val="34"/>
    <w:qFormat/>
    <w:rsid w:val="007A0136"/>
    <w:pPr>
      <w:numPr>
        <w:numId w:val="1"/>
      </w:numPr>
      <w:contextualSpacing/>
    </w:pPr>
  </w:style>
  <w:style w:type="paragraph" w:styleId="Sansinterligne">
    <w:name w:val="No Spacing"/>
    <w:basedOn w:val="Normal"/>
    <w:uiPriority w:val="1"/>
    <w:qFormat/>
    <w:rsid w:val="007A0136"/>
    <w:pPr>
      <w:spacing w:after="0"/>
    </w:pPr>
  </w:style>
  <w:style w:type="character" w:styleId="Accentuationintense">
    <w:name w:val="Intense Emphasis"/>
    <w:uiPriority w:val="21"/>
    <w:qFormat/>
    <w:rsid w:val="007A0136"/>
    <w:rPr>
      <w:b/>
      <w:color w:val="05354E"/>
    </w:rPr>
  </w:style>
  <w:style w:type="paragraph" w:styleId="Citation">
    <w:name w:val="Quote"/>
    <w:basedOn w:val="Sansinterligne"/>
    <w:next w:val="Normal"/>
    <w:link w:val="CitationCar"/>
    <w:uiPriority w:val="29"/>
    <w:rsid w:val="007A0136"/>
    <w:pPr>
      <w:spacing w:after="60"/>
    </w:pPr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7A0136"/>
    <w:rPr>
      <w:i/>
      <w:color w:val="262626" w:themeColor="text1" w:themeTint="D9"/>
      <w:sz w:val="18"/>
    </w:rPr>
  </w:style>
  <w:style w:type="character" w:styleId="Lienhypertexte">
    <w:name w:val="Hyperlink"/>
    <w:basedOn w:val="Policepardfaut"/>
    <w:uiPriority w:val="99"/>
    <w:unhideWhenUsed/>
    <w:rsid w:val="007A0136"/>
    <w:rPr>
      <w:color w:val="3076B8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7A0136"/>
    <w:pPr>
      <w:tabs>
        <w:tab w:val="right" w:leader="dot" w:pos="9639"/>
      </w:tabs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7A0136"/>
    <w:pPr>
      <w:tabs>
        <w:tab w:val="right" w:leader="dot" w:pos="9639"/>
      </w:tabs>
    </w:pPr>
  </w:style>
  <w:style w:type="paragraph" w:styleId="TM3">
    <w:name w:val="toc 3"/>
    <w:basedOn w:val="Normal"/>
    <w:next w:val="Normal"/>
    <w:autoRedefine/>
    <w:uiPriority w:val="39"/>
    <w:unhideWhenUsed/>
    <w:rsid w:val="007A0136"/>
    <w:pPr>
      <w:tabs>
        <w:tab w:val="right" w:leader="dot" w:pos="9639"/>
      </w:tabs>
      <w:spacing w:after="0"/>
      <w:ind w:left="340"/>
    </w:pPr>
    <w:rPr>
      <w:i/>
    </w:rPr>
  </w:style>
  <w:style w:type="paragraph" w:styleId="En-tte">
    <w:name w:val="header"/>
    <w:basedOn w:val="Normal"/>
    <w:link w:val="En-tteCar"/>
    <w:uiPriority w:val="99"/>
    <w:unhideWhenUsed/>
    <w:rsid w:val="0067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A42"/>
  </w:style>
  <w:style w:type="paragraph" w:styleId="Pieddepage">
    <w:name w:val="footer"/>
    <w:basedOn w:val="Normal"/>
    <w:link w:val="PieddepageCar"/>
    <w:uiPriority w:val="99"/>
    <w:unhideWhenUsed/>
    <w:rsid w:val="0067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A42"/>
  </w:style>
  <w:style w:type="paragraph" w:customStyle="1" w:styleId="Titre6HorsTables">
    <w:name w:val="Titre 6 Hors Tables"/>
    <w:basedOn w:val="Normal"/>
    <w:link w:val="Titre6HorsTablesCar"/>
    <w:rsid w:val="00675A42"/>
    <w:pPr>
      <w:spacing w:before="360" w:after="240" w:line="192" w:lineRule="auto"/>
    </w:pPr>
    <w:rPr>
      <w:b/>
      <w:color w:val="05354E"/>
      <w:sz w:val="48"/>
    </w:rPr>
  </w:style>
  <w:style w:type="table" w:styleId="Grilledutableau">
    <w:name w:val="Table Grid"/>
    <w:basedOn w:val="TableauNormal"/>
    <w:uiPriority w:val="39"/>
    <w:rsid w:val="0067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HorsTablesCar">
    <w:name w:val="Titre 6 Hors Tables Car"/>
    <w:basedOn w:val="Policepardfaut"/>
    <w:link w:val="Titre6HorsTables"/>
    <w:rsid w:val="00675A42"/>
    <w:rPr>
      <w:b/>
      <w:color w:val="05354E"/>
      <w:sz w:val="48"/>
    </w:rPr>
  </w:style>
  <w:style w:type="table" w:customStyle="1" w:styleId="TableauGrille4-Accentuation11">
    <w:name w:val="Tableau Grille 4 - Accentuation 11"/>
    <w:aliases w:val="Tableau Acceo"/>
    <w:basedOn w:val="TableauNormal"/>
    <w:uiPriority w:val="49"/>
    <w:rsid w:val="00EC034C"/>
    <w:pPr>
      <w:spacing w:after="0" w:line="240" w:lineRule="auto"/>
    </w:pPr>
    <w:tblPr>
      <w:tblStyleRowBandSize w:val="1"/>
      <w:tblStyleColBandSize w:val="1"/>
      <w:jc w:val="center"/>
      <w:tblBorders>
        <w:top w:val="single" w:sz="4" w:space="0" w:color="D2E3F3" w:themeColor="accent1" w:themeTint="33"/>
        <w:left w:val="single" w:sz="4" w:space="0" w:color="D2E3F3" w:themeColor="accent1" w:themeTint="33"/>
        <w:bottom w:val="single" w:sz="4" w:space="0" w:color="D2E3F3" w:themeColor="accent1" w:themeTint="33"/>
        <w:right w:val="single" w:sz="4" w:space="0" w:color="D2E3F3" w:themeColor="accent1" w:themeTint="33"/>
        <w:insideH w:val="single" w:sz="4" w:space="0" w:color="D2E3F3" w:themeColor="accent1" w:themeTint="33"/>
        <w:insideV w:val="single" w:sz="4" w:space="0" w:color="D2E3F3" w:themeColor="accent1" w:themeTint="33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Segoe UI" w:hAnsi="Segoe UI"/>
        <w:b/>
        <w:bCs/>
        <w:color w:val="FFFFFF" w:themeColor="background1"/>
        <w:sz w:val="20"/>
      </w:rPr>
      <w:tblPr/>
      <w:tcPr>
        <w:tcBorders>
          <w:top w:val="single" w:sz="4" w:space="0" w:color="D2E3F3" w:themeColor="accent1" w:themeTint="33"/>
          <w:left w:val="single" w:sz="4" w:space="0" w:color="D2E3F3" w:themeColor="accent1" w:themeTint="33"/>
          <w:bottom w:val="single" w:sz="4" w:space="0" w:color="D2E3F3" w:themeColor="accent1" w:themeTint="33"/>
          <w:right w:val="single" w:sz="4" w:space="0" w:color="D2E3F3" w:themeColor="accent1" w:themeTint="33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5354E"/>
      </w:tcPr>
    </w:tblStylePr>
    <w:tblStylePr w:type="lastRow">
      <w:rPr>
        <w:rFonts w:ascii="Segoe UI" w:hAnsi="Segoe UI"/>
        <w:b w:val="0"/>
        <w:bCs/>
        <w:color w:val="262626" w:themeColor="text1" w:themeTint="D9"/>
        <w:sz w:val="18"/>
      </w:rPr>
      <w:tblPr/>
      <w:tcPr>
        <w:tcBorders>
          <w:top w:val="single" w:sz="4" w:space="0" w:color="D2E3F3" w:themeColor="accent1" w:themeTint="33"/>
          <w:left w:val="single" w:sz="4" w:space="0" w:color="D2E3F3" w:themeColor="accent1" w:themeTint="33"/>
          <w:bottom w:val="single" w:sz="4" w:space="0" w:color="D2E3F3" w:themeColor="accent1" w:themeTint="33"/>
          <w:right w:val="single" w:sz="4" w:space="0" w:color="D2E3F3" w:themeColor="accent1" w:themeTint="33"/>
          <w:insideH w:val="single" w:sz="4" w:space="0" w:color="D2E3F3" w:themeColor="accent1" w:themeTint="33"/>
          <w:insideV w:val="single" w:sz="4" w:space="0" w:color="D2E3F3" w:themeColor="accent1" w:themeTint="33"/>
          <w:tl2br w:val="nil"/>
          <w:tr2bl w:val="nil"/>
        </w:tcBorders>
      </w:tcPr>
    </w:tblStylePr>
    <w:tblStylePr w:type="firstCol">
      <w:rPr>
        <w:rFonts w:ascii="Segoe UI" w:hAnsi="Segoe UI"/>
        <w:b w:val="0"/>
        <w:bCs/>
        <w:sz w:val="18"/>
      </w:rPr>
      <w:tblPr/>
      <w:tcPr>
        <w:tcBorders>
          <w:insideH w:val="single" w:sz="4" w:space="0" w:color="D2E3F3" w:themeColor="accent1" w:themeTint="33"/>
          <w:insideV w:val="single" w:sz="4" w:space="0" w:color="D2E3F3" w:themeColor="accent1" w:themeTint="33"/>
        </w:tcBorders>
      </w:tcPr>
    </w:tblStylePr>
    <w:tblStylePr w:type="lastCol">
      <w:rPr>
        <w:rFonts w:asciiTheme="minorHAnsi" w:hAnsiTheme="minorHAnsi"/>
        <w:b w:val="0"/>
        <w:bCs/>
        <w:sz w:val="18"/>
      </w:rPr>
      <w:tblPr/>
      <w:tcPr>
        <w:tcBorders>
          <w:insideH w:val="single" w:sz="4" w:space="0" w:color="D2E3F3" w:themeColor="accent1" w:themeTint="33"/>
          <w:insideV w:val="single" w:sz="4" w:space="0" w:color="D2E3F3" w:themeColor="accent1" w:themeTint="33"/>
        </w:tcBorders>
      </w:tcPr>
    </w:tblStylePr>
    <w:tblStylePr w:type="band1Vert">
      <w:tblPr/>
      <w:tcPr>
        <w:tcBorders>
          <w:insideH w:val="nil"/>
          <w:insideV w:val="nil"/>
        </w:tcBorders>
      </w:tcPr>
    </w:tblStylePr>
    <w:tblStylePr w:type="band2Vert">
      <w:tblPr/>
      <w:tcPr>
        <w:tcBorders>
          <w:insideH w:val="nil"/>
          <w:insideV w:val="nil"/>
        </w:tcBorders>
      </w:tcPr>
    </w:tblStylePr>
    <w:tblStylePr w:type="band1Horz"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2E3F3" w:themeFill="accent1" w:themeFillTint="33"/>
      </w:tcPr>
    </w:tblStylePr>
    <w:tblStylePr w:type="band2Horz">
      <w:tblPr/>
      <w:tcPr>
        <w:tcBorders>
          <w:insideH w:val="single" w:sz="4" w:space="0" w:color="D2E3F3" w:themeColor="accent1" w:themeTint="33"/>
          <w:insideV w:val="single" w:sz="4" w:space="0" w:color="D2E3F3" w:themeColor="accent1" w:themeTint="33"/>
        </w:tcBorders>
      </w:tcPr>
    </w:tblStylePr>
  </w:style>
  <w:style w:type="paragraph" w:styleId="Listepuces2">
    <w:name w:val="List Bullet 2"/>
    <w:basedOn w:val="Normal"/>
    <w:rsid w:val="00F6229F"/>
    <w:pPr>
      <w:numPr>
        <w:numId w:val="7"/>
      </w:num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820B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092"/>
    <w:rPr>
      <w:rFonts w:cs="Segoe U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cceo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ACCEO">
      <a:dk1>
        <a:sysClr val="windowText" lastClr="000000"/>
      </a:dk1>
      <a:lt1>
        <a:sysClr val="window" lastClr="FFFFFF"/>
      </a:lt1>
      <a:dk2>
        <a:srgbClr val="05354E"/>
      </a:dk2>
      <a:lt2>
        <a:srgbClr val="FFFFFF"/>
      </a:lt2>
      <a:accent1>
        <a:srgbClr val="3076B8"/>
      </a:accent1>
      <a:accent2>
        <a:srgbClr val="FCBE14"/>
      </a:accent2>
      <a:accent3>
        <a:srgbClr val="4CBCC4"/>
      </a:accent3>
      <a:accent4>
        <a:srgbClr val="F18517"/>
      </a:accent4>
      <a:accent5>
        <a:srgbClr val="A1C635"/>
      </a:accent5>
      <a:accent6>
        <a:srgbClr val="B9444F"/>
      </a:accent6>
      <a:hlink>
        <a:srgbClr val="3076B8"/>
      </a:hlink>
      <a:folHlink>
        <a:srgbClr val="D9E2F3"/>
      </a:folHlink>
    </a:clrScheme>
    <a:fontScheme name="Acceo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6180-C1DB-4240-89A5-373E5194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a2c licence2</dc:creator>
  <cp:keywords/>
  <dc:description/>
  <cp:lastModifiedBy>a2c licence2</cp:lastModifiedBy>
  <cp:revision>6</cp:revision>
  <dcterms:created xsi:type="dcterms:W3CDTF">2019-10-16T06:37:00Z</dcterms:created>
  <dcterms:modified xsi:type="dcterms:W3CDTF">2019-10-16T11:03:00Z</dcterms:modified>
</cp:coreProperties>
</file>