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B9" w:rsidRDefault="0096588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448945</wp:posOffset>
            </wp:positionH>
            <wp:positionV relativeFrom="page">
              <wp:posOffset>217170</wp:posOffset>
            </wp:positionV>
            <wp:extent cx="1791970" cy="8750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824" w:rsidRDefault="00DE0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Juin 2020</w:t>
      </w:r>
      <w:bookmarkStart w:id="0" w:name="_GoBack"/>
      <w:bookmarkEnd w:id="0"/>
    </w:p>
    <w:tbl>
      <w:tblPr>
        <w:tblW w:w="9620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1500"/>
        <w:gridCol w:w="1289"/>
        <w:gridCol w:w="1289"/>
        <w:gridCol w:w="1289"/>
      </w:tblGrid>
      <w:tr w:rsidR="00425824" w:rsidTr="00425824">
        <w:trPr>
          <w:trHeight w:val="1423"/>
        </w:trPr>
        <w:tc>
          <w:tcPr>
            <w:tcW w:w="9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24" w:rsidRPr="00916C2C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C0066"/>
              </w:rPr>
            </w:pPr>
            <w:r w:rsidRPr="00916C2C">
              <w:rPr>
                <w:rFonts w:ascii="Calibri" w:hAnsi="Calibri" w:cs="Calibri"/>
                <w:b/>
                <w:bCs/>
                <w:color w:val="CC0066"/>
              </w:rPr>
              <w:t>ATTENTION</w:t>
            </w:r>
          </w:p>
          <w:p w:rsidR="00425824" w:rsidRPr="00916C2C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C0066"/>
              </w:rPr>
            </w:pPr>
            <w:r w:rsidRPr="00916C2C">
              <w:rPr>
                <w:rFonts w:ascii="Calibri" w:hAnsi="Calibri" w:cs="Calibri"/>
                <w:b/>
                <w:bCs/>
                <w:color w:val="CC0066"/>
              </w:rPr>
              <w:t>Ce document est une trame susceptible d’être adaptée à chaque situation. Il ne pourra être utilisé en l’état. En conséquence, la responsabilité de l’UNIS ne pourra être engagée du fait de son utilisation.</w:t>
            </w:r>
          </w:p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16C2C">
              <w:rPr>
                <w:rFonts w:ascii="Calibri" w:hAnsi="Calibri" w:cs="Calibri"/>
                <w:b/>
                <w:bCs/>
                <w:color w:val="CC0066"/>
              </w:rPr>
              <w:t>Les lignes directrices de TRACFIN proposent d’autres risques identifiés (page 11) qui pourront être ajoutés au regard de votre situation.</w:t>
            </w:r>
          </w:p>
        </w:tc>
      </w:tr>
      <w:tr w:rsidR="00916C2C" w:rsidTr="00C263FE">
        <w:trPr>
          <w:trHeight w:val="290"/>
        </w:trPr>
        <w:tc>
          <w:tcPr>
            <w:tcW w:w="96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FICHE D'EVALUATION DES RISQUES</w:t>
            </w:r>
          </w:p>
        </w:tc>
      </w:tr>
      <w:tr w:rsidR="00916C2C" w:rsidTr="000A28F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Nature de l'opération :</w:t>
            </w:r>
          </w:p>
        </w:tc>
        <w:tc>
          <w:tcPr>
            <w:tcW w:w="53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916C2C" w:rsidRDefault="00916C2C" w:rsidP="0091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Référence mandat :</w:t>
            </w:r>
          </w:p>
        </w:tc>
      </w:tr>
      <w:tr w:rsidR="00916C2C" w:rsidTr="000A28F1">
        <w:trPr>
          <w:trHeight w:val="29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6C2C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16C2C" w:rsidRDefault="0091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Niveau du risque</w:t>
            </w: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faible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moyen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fort</w:t>
            </w:r>
          </w:p>
        </w:tc>
      </w:tr>
      <w:tr w:rsidR="00425824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Caractéristiques du bien, de la clientèle, du montage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Localisation du bien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Biens de grande valeur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0B06F9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Ecart entre le prix de la transaction et les revenus du bénéficiaires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0B06F9">
        <w:trPr>
          <w:trHeight w:val="581"/>
        </w:trPr>
        <w:tc>
          <w:tcPr>
            <w:tcW w:w="5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5824" w:rsidRDefault="00425824" w:rsidP="000B06F9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Disproportion entre le prix d'acquisition </w:t>
            </w:r>
            <w:r w:rsidR="000B06F9">
              <w:rPr>
                <w:rFonts w:ascii="Calibri" w:hAnsi="Calibri" w:cs="Calibri"/>
                <w:color w:val="000000"/>
              </w:rPr>
              <w:tab/>
            </w:r>
          </w:p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 bien et sa valeur sur le marché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Achat/revente dans un laps de temps très court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Fortes plus-values rapides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Absence de négociation du prix du bien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Absence de visite du bien concerné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Montage financier atypique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Recours à des prêts d’une ou de plusieurs banques étrangères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Emprunt auprès de personnes ou de structures inhabituelles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Existence de liens entre les divers contractants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Fonds d’origine douteuse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Montage juridique complexe sans justification économique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425824">
        <w:trPr>
          <w:trHeight w:val="581"/>
        </w:trPr>
        <w:tc>
          <w:tcPr>
            <w:tcW w:w="5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Substitution de l’acheteur ou du vendeur au moment de la signature de l’acte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Bénéficiaire économique réel, différent de l’acquéreur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Localisation des parties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Adresses non clairement identifiées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Recours à une société de domiciliation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Territoires à risques</w:t>
            </w:r>
            <w:r w:rsidR="006C28C1">
              <w:rPr>
                <w:rFonts w:ascii="Calibri" w:hAnsi="Calibri" w:cs="Calibri"/>
                <w:color w:val="000000"/>
              </w:rPr>
              <w:t xml:space="preserve"> (liste GAFI)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 cas de personne morale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Forme juridique de la personne morale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Taille de la personne morale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Activité de la personne morale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Activité </w:t>
            </w:r>
            <w:r w:rsidR="00B667BD">
              <w:rPr>
                <w:rFonts w:ascii="Calibri" w:hAnsi="Calibri" w:cs="Calibri"/>
                <w:b/>
                <w:bCs/>
                <w:color w:val="000000"/>
              </w:rPr>
              <w:t>exercée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par certaines personnes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6699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588F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Opération effectuée par une personne physique ou morale issue d'un pays figurant sur la liste établie par le </w:t>
            </w:r>
            <w:hyperlink r:id="rId7" w:history="1">
              <w:r w:rsidRPr="000F5957">
                <w:rPr>
                  <w:rStyle w:val="Lienhypertexte"/>
                  <w:rFonts w:ascii="Calibri" w:hAnsi="Calibri" w:cs="Calibri"/>
                </w:rPr>
                <w:t>groupe d'action financière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588F" w:rsidRDefault="0096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5824" w:rsidTr="0096588F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 w:rsidP="000F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 personnellement</w:t>
            </w:r>
            <w:r w:rsidR="000F5957">
              <w:rPr>
                <w:rFonts w:ascii="Calibri" w:hAnsi="Calibri" w:cs="Calibri"/>
                <w:color w:val="000000"/>
              </w:rPr>
              <w:t xml:space="preserve"> ou politiquement</w:t>
            </w:r>
            <w:r>
              <w:rPr>
                <w:rFonts w:ascii="Calibri" w:hAnsi="Calibri" w:cs="Calibri"/>
                <w:color w:val="000000"/>
              </w:rPr>
              <w:t xml:space="preserve"> exposée </w:t>
            </w:r>
            <w:r w:rsidR="000F5957">
              <w:rPr>
                <w:rFonts w:ascii="Calibri" w:hAnsi="Calibri" w:cs="Calibri"/>
                <w:color w:val="000000"/>
              </w:rPr>
              <w:t xml:space="preserve">listée à </w:t>
            </w:r>
            <w:hyperlink r:id="rId8" w:history="1">
              <w:r w:rsidR="000F5957" w:rsidRPr="000F5957">
                <w:rPr>
                  <w:rStyle w:val="Lienhypertexte"/>
                  <w:rFonts w:ascii="Calibri" w:hAnsi="Calibri" w:cs="Calibri"/>
                </w:rPr>
                <w:t>l’article R561-18 du CMF</w:t>
              </w:r>
            </w:hyperlink>
            <w:r w:rsidR="000F595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5824" w:rsidRDefault="0042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5957" w:rsidTr="00390062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TOTAUX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5957" w:rsidTr="00916C2C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0F5957" w:rsidRDefault="000F5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5824" w:rsidRDefault="00425824"/>
    <w:sectPr w:rsidR="0042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A7" w:rsidRDefault="00915AA7" w:rsidP="00915AA7">
      <w:pPr>
        <w:spacing w:after="0" w:line="240" w:lineRule="auto"/>
      </w:pPr>
      <w:r>
        <w:separator/>
      </w:r>
    </w:p>
  </w:endnote>
  <w:endnote w:type="continuationSeparator" w:id="0">
    <w:p w:rsidR="00915AA7" w:rsidRDefault="00915AA7" w:rsidP="0091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A7" w:rsidRDefault="00915AA7" w:rsidP="00915AA7">
      <w:pPr>
        <w:spacing w:after="0" w:line="240" w:lineRule="auto"/>
      </w:pPr>
      <w:r>
        <w:separator/>
      </w:r>
    </w:p>
  </w:footnote>
  <w:footnote w:type="continuationSeparator" w:id="0">
    <w:p w:rsidR="00915AA7" w:rsidRDefault="00915AA7" w:rsidP="0091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4"/>
    <w:rsid w:val="000B06F9"/>
    <w:rsid w:val="000F5957"/>
    <w:rsid w:val="00425824"/>
    <w:rsid w:val="006C28C1"/>
    <w:rsid w:val="00915AA7"/>
    <w:rsid w:val="00916C2C"/>
    <w:rsid w:val="0096588F"/>
    <w:rsid w:val="009A7DB9"/>
    <w:rsid w:val="00B667BD"/>
    <w:rsid w:val="00DE0A47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356A-B125-4268-A1F5-D8C97B1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AA7"/>
  </w:style>
  <w:style w:type="paragraph" w:styleId="Pieddepage">
    <w:name w:val="footer"/>
    <w:basedOn w:val="Normal"/>
    <w:link w:val="PieddepageCar"/>
    <w:uiPriority w:val="99"/>
    <w:unhideWhenUsed/>
    <w:rsid w:val="0091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AA7"/>
  </w:style>
  <w:style w:type="character" w:styleId="Lienhypertexte">
    <w:name w:val="Hyperlink"/>
    <w:basedOn w:val="Policepardfaut"/>
    <w:uiPriority w:val="99"/>
    <w:unhideWhenUsed/>
    <w:rsid w:val="000F5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2026&amp;idArticle=LEGIARTI000021019383&amp;dateTexte=&amp;categorieLien=c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tf-gafi.org/fr/p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Mouawad</dc:creator>
  <cp:keywords/>
  <dc:description/>
  <cp:lastModifiedBy>Anne Mouawad</cp:lastModifiedBy>
  <cp:revision>9</cp:revision>
  <dcterms:created xsi:type="dcterms:W3CDTF">2017-07-11T14:24:00Z</dcterms:created>
  <dcterms:modified xsi:type="dcterms:W3CDTF">2020-06-12T12:25:00Z</dcterms:modified>
</cp:coreProperties>
</file>